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0D7282" w14:textId="77777777" w:rsidR="00F467AE" w:rsidRDefault="00000000">
      <w:pPr>
        <w:spacing w:before="120" w:after="200"/>
        <w:jc w:val="center"/>
      </w:pPr>
      <w:r>
        <w:rPr>
          <w:noProof/>
        </w:rPr>
        <w:drawing>
          <wp:inline distT="0" distB="0" distL="0" distR="0" wp14:anchorId="13C169F7" wp14:editId="7E0AE977">
            <wp:extent cx="1905000" cy="581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905000" cy="581025"/>
                    </a:xfrm>
                    <a:prstGeom prst="rect">
                      <a:avLst/>
                    </a:prstGeom>
                  </pic:spPr>
                </pic:pic>
              </a:graphicData>
            </a:graphic>
          </wp:inline>
        </w:drawing>
      </w:r>
    </w:p>
    <w:p w14:paraId="54EEAE5B" w14:textId="77777777" w:rsidR="00F467AE" w:rsidRDefault="00000000">
      <w:pPr>
        <w:spacing w:after="40"/>
        <w:jc w:val="center"/>
      </w:pPr>
      <w:r>
        <w:rPr>
          <w:b/>
          <w:bCs/>
          <w:spacing w:val="14"/>
          <w:sz w:val="32"/>
          <w:szCs w:val="32"/>
        </w:rPr>
        <w:t>TRUST ATTESTATION CERTIFICATE</w:t>
      </w:r>
    </w:p>
    <w:p w14:paraId="63A3BDAF" w14:textId="77777777" w:rsidR="00F467AE" w:rsidRDefault="00000000">
      <w:pPr>
        <w:spacing w:after="280"/>
        <w:jc w:val="center"/>
      </w:pPr>
      <w:r>
        <w:rPr>
          <w:i/>
          <w:iCs/>
          <w:color w:val="4A4A4A"/>
          <w:sz w:val="18"/>
          <w:szCs w:val="18"/>
        </w:rPr>
        <w:t>Independent behavioural certification of an autonomous AI system</w:t>
      </w:r>
    </w:p>
    <w:p w14:paraId="1BB0E09B" w14:textId="77777777" w:rsidR="00F467AE" w:rsidRDefault="00000000">
      <w:pPr>
        <w:spacing w:after="200"/>
        <w:jc w:val="center"/>
      </w:pPr>
      <w:r>
        <w:rPr>
          <w:noProof/>
        </w:rPr>
        <w:drawing>
          <wp:inline distT="0" distB="0" distL="0" distR="0" wp14:anchorId="03AB780A" wp14:editId="6428CA35">
            <wp:extent cx="1619250" cy="2124075"/>
            <wp:effectExtent l="0" t="0" r="0" b="0"/>
            <wp:docPr id="901593202" name="Picture 901593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619250" cy="2124075"/>
                    </a:xfrm>
                    <a:prstGeom prst="rect">
                      <a:avLst/>
                    </a:prstGeom>
                  </pic:spPr>
                </pic:pic>
              </a:graphicData>
            </a:graphic>
          </wp:inline>
        </w:drawing>
      </w:r>
    </w:p>
    <w:p w14:paraId="6BA561B7" w14:textId="77777777" w:rsidR="00F467AE" w:rsidRDefault="00000000">
      <w:pPr>
        <w:spacing w:after="200"/>
        <w:jc w:val="center"/>
      </w:pPr>
      <w:r>
        <w:rPr>
          <w:b/>
          <w:bCs/>
          <w:color w:val="1E7B34"/>
        </w:rPr>
        <w:t>✓ ATTESTED</w:t>
      </w:r>
      <w:r>
        <w:rPr>
          <w:color w:val="4A4A4A"/>
        </w:rPr>
        <w:t xml:space="preserve">     TRUST </w:t>
      </w:r>
      <w:proofErr w:type="gramStart"/>
      <w:r>
        <w:rPr>
          <w:color w:val="4A4A4A"/>
        </w:rPr>
        <w:t xml:space="preserve">SCORE  </w:t>
      </w:r>
      <w:r>
        <w:rPr>
          <w:b/>
          <w:bCs/>
        </w:rPr>
        <w:t>94.6</w:t>
      </w:r>
      <w:proofErr w:type="gramEnd"/>
      <w:r>
        <w:rPr>
          <w:b/>
          <w:bCs/>
        </w:rPr>
        <w:t xml:space="preserve"> / 100</w:t>
      </w:r>
    </w:p>
    <w:p w14:paraId="42A2874A" w14:textId="77777777" w:rsidR="00F467AE" w:rsidRDefault="00000000">
      <w:pPr>
        <w:pBdr>
          <w:top w:val="single" w:sz="4" w:space="0" w:color="D9D9D9"/>
          <w:bottom w:val="single" w:sz="4" w:space="0" w:color="D9D9D9"/>
        </w:pBdr>
        <w:spacing w:before="120" w:after="200"/>
        <w:jc w:val="center"/>
      </w:pPr>
      <w:r>
        <w:rPr>
          <w:i/>
          <w:iCs/>
          <w:color w:val="4A4A4A"/>
          <w:sz w:val="17"/>
          <w:szCs w:val="17"/>
        </w:rPr>
        <w:t>This certifies that the system named below has been independently assessed against the regulatory scope stated, and is attested at the tier shown, subject to continuous monitoring for the life of this certificate.</w:t>
      </w:r>
    </w:p>
    <w:tbl>
      <w:tblPr>
        <w:tblW w:w="8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5866"/>
      </w:tblGrid>
      <w:tr w:rsidR="00F467AE" w14:paraId="5D5476F2" w14:textId="77777777">
        <w:trPr>
          <w:jc w:val="center"/>
        </w:trPr>
        <w:tc>
          <w:tcPr>
            <w:tcW w:w="3000" w:type="dxa"/>
            <w:tcBorders>
              <w:top w:val="none" w:sz="0" w:space="0" w:color="FFFFFF"/>
              <w:left w:val="none" w:sz="0" w:space="0" w:color="FFFFFF"/>
              <w:bottom w:val="none" w:sz="0" w:space="0" w:color="FFFFFF"/>
              <w:right w:val="none" w:sz="0" w:space="0" w:color="FFFFFF"/>
            </w:tcBorders>
            <w:tcMar>
              <w:top w:w="60" w:type="dxa"/>
              <w:bottom w:w="60" w:type="dxa"/>
            </w:tcMar>
          </w:tcPr>
          <w:p w14:paraId="702D0B9B" w14:textId="77777777" w:rsidR="00F467AE" w:rsidRDefault="00000000">
            <w:pPr>
              <w:jc w:val="right"/>
            </w:pPr>
            <w:r>
              <w:rPr>
                <w:b/>
                <w:bCs/>
                <w:color w:val="4A4A4A"/>
                <w:sz w:val="18"/>
                <w:szCs w:val="18"/>
              </w:rPr>
              <w:t xml:space="preserve">System   </w:t>
            </w:r>
          </w:p>
        </w:tc>
        <w:tc>
          <w:tcPr>
            <w:tcW w:w="5866" w:type="dxa"/>
            <w:tcBorders>
              <w:top w:val="none" w:sz="0" w:space="0" w:color="FFFFFF"/>
              <w:left w:val="none" w:sz="0" w:space="0" w:color="FFFFFF"/>
              <w:bottom w:val="none" w:sz="0" w:space="0" w:color="FFFFFF"/>
              <w:right w:val="none" w:sz="0" w:space="0" w:color="FFFFFF"/>
            </w:tcBorders>
            <w:tcMar>
              <w:top w:w="60" w:type="dxa"/>
              <w:bottom w:w="60" w:type="dxa"/>
            </w:tcMar>
          </w:tcPr>
          <w:p w14:paraId="0B231E77" w14:textId="77777777" w:rsidR="00F467AE" w:rsidRDefault="00000000">
            <w:proofErr w:type="spellStart"/>
            <w:r>
              <w:rPr>
                <w:sz w:val="18"/>
                <w:szCs w:val="18"/>
              </w:rPr>
              <w:t>wps</w:t>
            </w:r>
            <w:proofErr w:type="spellEnd"/>
            <w:r>
              <w:rPr>
                <w:sz w:val="18"/>
                <w:szCs w:val="18"/>
              </w:rPr>
              <w:t>-salary-anomaly-</w:t>
            </w:r>
            <w:proofErr w:type="gramStart"/>
            <w:r>
              <w:rPr>
                <w:sz w:val="18"/>
                <w:szCs w:val="18"/>
              </w:rPr>
              <w:t>agent  (</w:t>
            </w:r>
            <w:proofErr w:type="gramEnd"/>
            <w:r>
              <w:rPr>
                <w:sz w:val="18"/>
                <w:szCs w:val="18"/>
              </w:rPr>
              <w:t>v2.3)</w:t>
            </w:r>
          </w:p>
        </w:tc>
      </w:tr>
      <w:tr w:rsidR="00F467AE" w14:paraId="454A4371" w14:textId="77777777">
        <w:trPr>
          <w:jc w:val="center"/>
        </w:trPr>
        <w:tc>
          <w:tcPr>
            <w:tcW w:w="3000" w:type="dxa"/>
            <w:tcBorders>
              <w:top w:val="none" w:sz="0" w:space="0" w:color="FFFFFF"/>
              <w:left w:val="none" w:sz="0" w:space="0" w:color="FFFFFF"/>
              <w:bottom w:val="none" w:sz="0" w:space="0" w:color="FFFFFF"/>
              <w:right w:val="none" w:sz="0" w:space="0" w:color="FFFFFF"/>
            </w:tcBorders>
            <w:tcMar>
              <w:top w:w="60" w:type="dxa"/>
              <w:bottom w:w="60" w:type="dxa"/>
            </w:tcMar>
          </w:tcPr>
          <w:p w14:paraId="0C641934" w14:textId="77777777" w:rsidR="00F467AE" w:rsidRDefault="00000000">
            <w:pPr>
              <w:jc w:val="right"/>
            </w:pPr>
            <w:r>
              <w:rPr>
                <w:b/>
                <w:bCs/>
                <w:color w:val="4A4A4A"/>
                <w:sz w:val="18"/>
                <w:szCs w:val="18"/>
              </w:rPr>
              <w:t xml:space="preserve">Operating entity   </w:t>
            </w:r>
          </w:p>
        </w:tc>
        <w:tc>
          <w:tcPr>
            <w:tcW w:w="5866" w:type="dxa"/>
            <w:tcBorders>
              <w:top w:val="none" w:sz="0" w:space="0" w:color="FFFFFF"/>
              <w:left w:val="none" w:sz="0" w:space="0" w:color="FFFFFF"/>
              <w:bottom w:val="none" w:sz="0" w:space="0" w:color="FFFFFF"/>
              <w:right w:val="none" w:sz="0" w:space="0" w:color="FFFFFF"/>
            </w:tcBorders>
            <w:tcMar>
              <w:top w:w="60" w:type="dxa"/>
              <w:bottom w:w="60" w:type="dxa"/>
            </w:tcMar>
          </w:tcPr>
          <w:p w14:paraId="772799F5" w14:textId="2AC4938D" w:rsidR="00F467AE" w:rsidRDefault="00000000">
            <w:r>
              <w:rPr>
                <w:sz w:val="18"/>
                <w:szCs w:val="18"/>
              </w:rPr>
              <w:t>MENA Bank Ltd (illustrative) — DIFC-incorporated, DFSA Category 1 licence; onshore branch operations under CBUAE</w:t>
            </w:r>
          </w:p>
        </w:tc>
      </w:tr>
      <w:tr w:rsidR="00F467AE" w14:paraId="05F878EA" w14:textId="77777777">
        <w:trPr>
          <w:jc w:val="center"/>
        </w:trPr>
        <w:tc>
          <w:tcPr>
            <w:tcW w:w="3000" w:type="dxa"/>
            <w:tcBorders>
              <w:top w:val="none" w:sz="0" w:space="0" w:color="FFFFFF"/>
              <w:left w:val="none" w:sz="0" w:space="0" w:color="FFFFFF"/>
              <w:bottom w:val="none" w:sz="0" w:space="0" w:color="FFFFFF"/>
              <w:right w:val="none" w:sz="0" w:space="0" w:color="FFFFFF"/>
            </w:tcBorders>
            <w:tcMar>
              <w:top w:w="60" w:type="dxa"/>
              <w:bottom w:w="60" w:type="dxa"/>
            </w:tcMar>
          </w:tcPr>
          <w:p w14:paraId="4D0A0E0E" w14:textId="77777777" w:rsidR="00F467AE" w:rsidRDefault="00000000">
            <w:pPr>
              <w:jc w:val="right"/>
            </w:pPr>
            <w:r>
              <w:rPr>
                <w:b/>
                <w:bCs/>
                <w:color w:val="4A4A4A"/>
                <w:sz w:val="18"/>
                <w:szCs w:val="18"/>
              </w:rPr>
              <w:t xml:space="preserve">Assessment scope   </w:t>
            </w:r>
          </w:p>
        </w:tc>
        <w:tc>
          <w:tcPr>
            <w:tcW w:w="5866" w:type="dxa"/>
            <w:tcBorders>
              <w:top w:val="none" w:sz="0" w:space="0" w:color="FFFFFF"/>
              <w:left w:val="none" w:sz="0" w:space="0" w:color="FFFFFF"/>
              <w:bottom w:val="none" w:sz="0" w:space="0" w:color="FFFFFF"/>
              <w:right w:val="none" w:sz="0" w:space="0" w:color="FFFFFF"/>
            </w:tcBorders>
            <w:tcMar>
              <w:top w:w="60" w:type="dxa"/>
              <w:bottom w:w="60" w:type="dxa"/>
            </w:tcMar>
          </w:tcPr>
          <w:p w14:paraId="15CA1E48" w14:textId="77777777" w:rsidR="00F467AE" w:rsidRDefault="00000000">
            <w:r>
              <w:rPr>
                <w:sz w:val="18"/>
                <w:szCs w:val="18"/>
              </w:rPr>
              <w:t>DIFC Regulation 10 (Data Protection Regulations); CBUAE AI/ML Guidance Note (Feb 2026), Sections 1–10</w:t>
            </w:r>
          </w:p>
        </w:tc>
      </w:tr>
      <w:tr w:rsidR="00F467AE" w14:paraId="610CB759" w14:textId="77777777">
        <w:trPr>
          <w:jc w:val="center"/>
        </w:trPr>
        <w:tc>
          <w:tcPr>
            <w:tcW w:w="3000" w:type="dxa"/>
            <w:tcBorders>
              <w:top w:val="none" w:sz="0" w:space="0" w:color="FFFFFF"/>
              <w:left w:val="none" w:sz="0" w:space="0" w:color="FFFFFF"/>
              <w:bottom w:val="none" w:sz="0" w:space="0" w:color="FFFFFF"/>
              <w:right w:val="none" w:sz="0" w:space="0" w:color="FFFFFF"/>
            </w:tcBorders>
            <w:tcMar>
              <w:top w:w="60" w:type="dxa"/>
              <w:bottom w:w="60" w:type="dxa"/>
            </w:tcMar>
          </w:tcPr>
          <w:p w14:paraId="28436ACC" w14:textId="77777777" w:rsidR="00F467AE" w:rsidRDefault="00000000">
            <w:pPr>
              <w:jc w:val="right"/>
            </w:pPr>
            <w:r>
              <w:rPr>
                <w:b/>
                <w:bCs/>
                <w:color w:val="4A4A4A"/>
                <w:sz w:val="18"/>
                <w:szCs w:val="18"/>
              </w:rPr>
              <w:t xml:space="preserve">Assessment date   </w:t>
            </w:r>
          </w:p>
        </w:tc>
        <w:tc>
          <w:tcPr>
            <w:tcW w:w="5866" w:type="dxa"/>
            <w:tcBorders>
              <w:top w:val="none" w:sz="0" w:space="0" w:color="FFFFFF"/>
              <w:left w:val="none" w:sz="0" w:space="0" w:color="FFFFFF"/>
              <w:bottom w:val="none" w:sz="0" w:space="0" w:color="FFFFFF"/>
              <w:right w:val="none" w:sz="0" w:space="0" w:color="FFFFFF"/>
            </w:tcBorders>
            <w:tcMar>
              <w:top w:w="60" w:type="dxa"/>
              <w:bottom w:w="60" w:type="dxa"/>
            </w:tcMar>
          </w:tcPr>
          <w:p w14:paraId="3D64DA05" w14:textId="77777777" w:rsidR="00F467AE" w:rsidRDefault="00000000">
            <w:r>
              <w:rPr>
                <w:sz w:val="18"/>
                <w:szCs w:val="18"/>
              </w:rPr>
              <w:t>28 July 2026</w:t>
            </w:r>
          </w:p>
        </w:tc>
      </w:tr>
      <w:tr w:rsidR="00F467AE" w14:paraId="78378EEE" w14:textId="77777777">
        <w:trPr>
          <w:jc w:val="center"/>
        </w:trPr>
        <w:tc>
          <w:tcPr>
            <w:tcW w:w="3000" w:type="dxa"/>
            <w:tcBorders>
              <w:top w:val="none" w:sz="0" w:space="0" w:color="FFFFFF"/>
              <w:left w:val="none" w:sz="0" w:space="0" w:color="FFFFFF"/>
              <w:bottom w:val="none" w:sz="0" w:space="0" w:color="FFFFFF"/>
              <w:right w:val="none" w:sz="0" w:space="0" w:color="FFFFFF"/>
            </w:tcBorders>
            <w:tcMar>
              <w:top w:w="60" w:type="dxa"/>
              <w:bottom w:w="60" w:type="dxa"/>
            </w:tcMar>
          </w:tcPr>
          <w:p w14:paraId="3FE2C0C0" w14:textId="77777777" w:rsidR="00F467AE" w:rsidRDefault="00000000">
            <w:pPr>
              <w:jc w:val="right"/>
            </w:pPr>
            <w:r>
              <w:rPr>
                <w:b/>
                <w:bCs/>
                <w:color w:val="4A4A4A"/>
                <w:sz w:val="18"/>
                <w:szCs w:val="18"/>
              </w:rPr>
              <w:t xml:space="preserve">Valid   </w:t>
            </w:r>
          </w:p>
        </w:tc>
        <w:tc>
          <w:tcPr>
            <w:tcW w:w="5866" w:type="dxa"/>
            <w:tcBorders>
              <w:top w:val="none" w:sz="0" w:space="0" w:color="FFFFFF"/>
              <w:left w:val="none" w:sz="0" w:space="0" w:color="FFFFFF"/>
              <w:bottom w:val="none" w:sz="0" w:space="0" w:color="FFFFFF"/>
              <w:right w:val="none" w:sz="0" w:space="0" w:color="FFFFFF"/>
            </w:tcBorders>
            <w:tcMar>
              <w:top w:w="60" w:type="dxa"/>
              <w:bottom w:w="60" w:type="dxa"/>
            </w:tcMar>
          </w:tcPr>
          <w:p w14:paraId="79096368" w14:textId="77777777" w:rsidR="00F467AE" w:rsidRDefault="00000000">
            <w:r>
              <w:rPr>
                <w:sz w:val="18"/>
                <w:szCs w:val="18"/>
              </w:rPr>
              <w:t xml:space="preserve">28 July </w:t>
            </w:r>
            <w:proofErr w:type="gramStart"/>
            <w:r>
              <w:rPr>
                <w:sz w:val="18"/>
                <w:szCs w:val="18"/>
              </w:rPr>
              <w:t>2026  —</w:t>
            </w:r>
            <w:proofErr w:type="gramEnd"/>
            <w:r>
              <w:rPr>
                <w:sz w:val="18"/>
                <w:szCs w:val="18"/>
              </w:rPr>
              <w:t xml:space="preserve">  24 January </w:t>
            </w:r>
            <w:proofErr w:type="gramStart"/>
            <w:r>
              <w:rPr>
                <w:sz w:val="18"/>
                <w:szCs w:val="18"/>
              </w:rPr>
              <w:t>2027  (</w:t>
            </w:r>
            <w:proofErr w:type="gramEnd"/>
            <w:r>
              <w:rPr>
                <w:sz w:val="18"/>
                <w:szCs w:val="18"/>
              </w:rPr>
              <w:t>180 days)</w:t>
            </w:r>
          </w:p>
        </w:tc>
      </w:tr>
      <w:tr w:rsidR="00F467AE" w14:paraId="5D254B8E" w14:textId="77777777">
        <w:trPr>
          <w:jc w:val="center"/>
        </w:trPr>
        <w:tc>
          <w:tcPr>
            <w:tcW w:w="3000" w:type="dxa"/>
            <w:tcBorders>
              <w:top w:val="none" w:sz="0" w:space="0" w:color="FFFFFF"/>
              <w:left w:val="none" w:sz="0" w:space="0" w:color="FFFFFF"/>
              <w:bottom w:val="none" w:sz="0" w:space="0" w:color="FFFFFF"/>
              <w:right w:val="none" w:sz="0" w:space="0" w:color="FFFFFF"/>
            </w:tcBorders>
            <w:tcMar>
              <w:top w:w="60" w:type="dxa"/>
              <w:bottom w:w="60" w:type="dxa"/>
            </w:tcMar>
          </w:tcPr>
          <w:p w14:paraId="06732DEF" w14:textId="77777777" w:rsidR="00F467AE" w:rsidRDefault="00000000">
            <w:pPr>
              <w:jc w:val="right"/>
            </w:pPr>
            <w:r>
              <w:rPr>
                <w:b/>
                <w:bCs/>
                <w:color w:val="4A4A4A"/>
                <w:sz w:val="18"/>
                <w:szCs w:val="18"/>
              </w:rPr>
              <w:t xml:space="preserve">Certificate reference   </w:t>
            </w:r>
          </w:p>
        </w:tc>
        <w:tc>
          <w:tcPr>
            <w:tcW w:w="5866" w:type="dxa"/>
            <w:tcBorders>
              <w:top w:val="none" w:sz="0" w:space="0" w:color="FFFFFF"/>
              <w:left w:val="none" w:sz="0" w:space="0" w:color="FFFFFF"/>
              <w:bottom w:val="none" w:sz="0" w:space="0" w:color="FFFFFF"/>
              <w:right w:val="none" w:sz="0" w:space="0" w:color="FFFFFF"/>
            </w:tcBorders>
            <w:tcMar>
              <w:top w:w="60" w:type="dxa"/>
              <w:bottom w:w="60" w:type="dxa"/>
            </w:tcMar>
          </w:tcPr>
          <w:p w14:paraId="0BB5EBD7" w14:textId="77777777" w:rsidR="00F467AE" w:rsidRDefault="00000000">
            <w:r>
              <w:rPr>
                <w:sz w:val="18"/>
                <w:szCs w:val="18"/>
              </w:rPr>
              <w:t>BASTYN-DIFC-CBUAE-2026-0417</w:t>
            </w:r>
          </w:p>
        </w:tc>
      </w:tr>
    </w:tbl>
    <w:p w14:paraId="7AD0661E" w14:textId="77777777" w:rsidR="00F467AE" w:rsidRDefault="00F467AE">
      <w:pPr>
        <w:spacing w:before="400"/>
      </w:pPr>
    </w:p>
    <w:p w14:paraId="27EA7D71" w14:textId="77777777" w:rsidR="00F467AE" w:rsidRDefault="00000000">
      <w:pPr>
        <w:pBdr>
          <w:top w:val="single" w:sz="4" w:space="10" w:color="D9D9D9"/>
        </w:pBdr>
        <w:spacing w:before="200"/>
        <w:jc w:val="center"/>
      </w:pPr>
      <w:r>
        <w:rPr>
          <w:b/>
          <w:bCs/>
          <w:sz w:val="17"/>
          <w:szCs w:val="17"/>
        </w:rPr>
        <w:t>Issued by BASTYN — independent behavioural certification</w:t>
      </w:r>
    </w:p>
    <w:p w14:paraId="69DB2B25" w14:textId="77777777" w:rsidR="00F467AE" w:rsidRDefault="00000000">
      <w:pPr>
        <w:spacing w:after="100"/>
        <w:jc w:val="center"/>
      </w:pPr>
      <w:r>
        <w:rPr>
          <w:b/>
          <w:bCs/>
          <w:color w:val="AA0605"/>
          <w:sz w:val="14"/>
          <w:szCs w:val="14"/>
        </w:rPr>
        <w:t>SAMPLE CERTIFICATE — ILLUSTRATIVE ONLY. NOT AN ACTUAL CERTIFICATION.</w:t>
      </w:r>
    </w:p>
    <w:p w14:paraId="18131524" w14:textId="77777777" w:rsidR="00F467AE" w:rsidRDefault="00F467AE">
      <w:pPr>
        <w:sectPr w:rsidR="00F467AE">
          <w:pgSz w:w="11906" w:h="16838"/>
          <w:pgMar w:top="720" w:right="720" w:bottom="720" w:left="720" w:header="708" w:footer="708" w:gutter="0"/>
          <w:cols w:space="720"/>
          <w:docGrid w:linePitch="360"/>
        </w:sectPr>
      </w:pPr>
    </w:p>
    <w:p w14:paraId="2F1ED2BB" w14:textId="77777777" w:rsidR="00F467AE" w:rsidRDefault="00000000">
      <w:pPr>
        <w:spacing w:after="60"/>
      </w:pPr>
      <w:r>
        <w:rPr>
          <w:b/>
          <w:bCs/>
          <w:color w:val="AA0605"/>
          <w:spacing w:val="20"/>
          <w:sz w:val="16"/>
          <w:szCs w:val="16"/>
        </w:rPr>
        <w:lastRenderedPageBreak/>
        <w:t>EXECUTIVE SUMMARY</w:t>
      </w:r>
    </w:p>
    <w:p w14:paraId="4C8722CE" w14:textId="77777777" w:rsidR="00F467AE" w:rsidRDefault="00000000">
      <w:pPr>
        <w:pStyle w:val="Heading1"/>
        <w:pBdr>
          <w:bottom w:val="single" w:sz="6" w:space="6" w:color="AA0605"/>
        </w:pBdr>
        <w:spacing w:before="240" w:after="160"/>
      </w:pPr>
      <w:r>
        <w:rPr>
          <w:b/>
          <w:bCs/>
          <w:color w:val="1F1F1F"/>
          <w:sz w:val="30"/>
          <w:szCs w:val="30"/>
        </w:rPr>
        <w:t>Executive summary</w:t>
      </w:r>
    </w:p>
    <w:p w14:paraId="774F0EA0" w14:textId="56042846" w:rsidR="00F467AE" w:rsidRDefault="00000000">
      <w:pPr>
        <w:spacing w:after="120" w:line="300" w:lineRule="auto"/>
      </w:pPr>
      <w:r>
        <w:t xml:space="preserve">This report attests the behavioural trust status of </w:t>
      </w:r>
      <w:proofErr w:type="spellStart"/>
      <w:r>
        <w:t>wps</w:t>
      </w:r>
      <w:proofErr w:type="spellEnd"/>
      <w:r>
        <w:t>-salary-anomaly-agent v2.3, assessed against DIFC Regulation 10 and the CBUAE AI/ML Guidance Note. Across 126 tests spanning 21 applicable behavioural vectors, the system achieved a trust score of 94.6/100 and is attested at SILVER. One finding was identified</w:t>
      </w:r>
      <w:r w:rsidR="00E248AE">
        <w:t>,</w:t>
      </w:r>
      <w:r>
        <w:t xml:space="preserve"> an overdue independent cybersecurity review of the licensed third-party base model, under CBUAE Section </w:t>
      </w:r>
      <w:proofErr w:type="gramStart"/>
      <w:r>
        <w:t>9  rated</w:t>
      </w:r>
      <w:proofErr w:type="gramEnd"/>
      <w:r>
        <w:t xml:space="preserve"> HIGH severity and blocking progression beyond Silver until closed. It does not revoke the current attestation. Continuous monitoring and the system's cessation capability remain active for the full validity period.</w:t>
      </w:r>
    </w:p>
    <w:p w14:paraId="2EF10F81" w14:textId="77777777" w:rsidR="00F467AE" w:rsidRDefault="00F467AE">
      <w:pPr>
        <w:spacing w:after="200"/>
      </w:pPr>
    </w:p>
    <w:p w14:paraId="70EC999B" w14:textId="77777777" w:rsidR="00F467AE" w:rsidRDefault="00000000">
      <w:pPr>
        <w:pStyle w:val="Heading1"/>
        <w:pBdr>
          <w:bottom w:val="single" w:sz="6" w:space="6" w:color="AA0605"/>
        </w:pBdr>
        <w:spacing w:before="240" w:after="160"/>
      </w:pPr>
      <w:r>
        <w:rPr>
          <w:b/>
          <w:bCs/>
          <w:color w:val="1F1F1F"/>
          <w:sz w:val="30"/>
          <w:szCs w:val="30"/>
        </w:rPr>
        <w:t>Operational trust boundaries</w:t>
      </w:r>
    </w:p>
    <w:p w14:paraId="3FCDD608" w14:textId="77777777" w:rsidR="00F467AE" w:rsidRDefault="00000000">
      <w:pPr>
        <w:spacing w:after="120" w:line="300" w:lineRule="auto"/>
      </w:pPr>
      <w:r>
        <w:rPr>
          <w:i/>
          <w:iCs/>
          <w:color w:val="4A4A4A"/>
        </w:rPr>
        <w:t>What this attestation covers, and where its tested envelope ends.</w:t>
      </w:r>
    </w:p>
    <w:p w14:paraId="5698BB02" w14:textId="77777777" w:rsidR="00F467AE" w:rsidRDefault="00F467AE">
      <w:pPr>
        <w:spacing w:after="10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33"/>
        <w:gridCol w:w="5233"/>
      </w:tblGrid>
      <w:tr w:rsidR="00F467AE" w14:paraId="21467318" w14:textId="77777777">
        <w:tc>
          <w:tcPr>
            <w:tcW w:w="5233" w:type="dxa"/>
            <w:tcBorders>
              <w:top w:val="single" w:sz="4" w:space="0" w:color="D9D9D9"/>
              <w:left w:val="single" w:sz="24" w:space="0" w:color="1E7B34"/>
              <w:bottom w:val="single" w:sz="4" w:space="0" w:color="D9D9D9"/>
              <w:right w:val="single" w:sz="4" w:space="0" w:color="D9D9D9"/>
            </w:tcBorders>
            <w:shd w:val="clear" w:color="auto" w:fill="EAF5EC"/>
            <w:tcMar>
              <w:top w:w="160" w:type="dxa"/>
              <w:left w:w="180" w:type="dxa"/>
              <w:bottom w:w="160" w:type="dxa"/>
              <w:right w:w="180" w:type="dxa"/>
            </w:tcMar>
          </w:tcPr>
          <w:p w14:paraId="3C4B2E38" w14:textId="77777777" w:rsidR="00F467AE" w:rsidRDefault="00000000">
            <w:pPr>
              <w:spacing w:after="100"/>
            </w:pPr>
            <w:r>
              <w:rPr>
                <w:b/>
                <w:bCs/>
                <w:color w:val="1E7B34"/>
                <w:sz w:val="19"/>
                <w:szCs w:val="19"/>
              </w:rPr>
              <w:t>Safe to rely on this attestation</w:t>
            </w:r>
          </w:p>
          <w:p w14:paraId="2B38E2CD" w14:textId="77777777" w:rsidR="00F467AE" w:rsidRDefault="00000000">
            <w:pPr>
              <w:pStyle w:val="ListParagraph"/>
              <w:numPr>
                <w:ilvl w:val="0"/>
                <w:numId w:val="1"/>
              </w:numPr>
              <w:spacing w:after="80" w:line="260" w:lineRule="auto"/>
            </w:pPr>
            <w:r>
              <w:rPr>
                <w:sz w:val="17"/>
                <w:szCs w:val="17"/>
              </w:rPr>
              <w:t>Screening UAE-based WPS salary batches for employers already onboarded to the bank's core banking system, matched against the labour-authority registry feed.</w:t>
            </w:r>
          </w:p>
          <w:p w14:paraId="40619EC0" w14:textId="77777777" w:rsidR="00F467AE" w:rsidRDefault="00000000">
            <w:pPr>
              <w:pStyle w:val="ListParagraph"/>
              <w:numPr>
                <w:ilvl w:val="0"/>
                <w:numId w:val="1"/>
              </w:numPr>
              <w:spacing w:after="80" w:line="260" w:lineRule="auto"/>
            </w:pPr>
            <w:r>
              <w:rPr>
                <w:sz w:val="17"/>
                <w:szCs w:val="17"/>
              </w:rPr>
              <w:t>Anomaly threshold held at 0.72, with the human-review queue active and unmodified.</w:t>
            </w:r>
          </w:p>
          <w:p w14:paraId="7C140224" w14:textId="77777777" w:rsidR="00F467AE" w:rsidRDefault="00000000">
            <w:pPr>
              <w:pStyle w:val="ListParagraph"/>
              <w:numPr>
                <w:ilvl w:val="0"/>
                <w:numId w:val="1"/>
              </w:numPr>
              <w:spacing w:after="80" w:line="260" w:lineRule="auto"/>
            </w:pPr>
            <w:r>
              <w:rPr>
                <w:sz w:val="17"/>
                <w:szCs w:val="17"/>
              </w:rPr>
              <w:t>Every batch scoring above threshold receives human sign-off before release — the model never issues a final, unreviewed decision.</w:t>
            </w:r>
          </w:p>
          <w:p w14:paraId="26A3097A" w14:textId="77777777" w:rsidR="00F467AE" w:rsidRDefault="00000000">
            <w:pPr>
              <w:pStyle w:val="ListParagraph"/>
              <w:numPr>
                <w:ilvl w:val="0"/>
                <w:numId w:val="1"/>
              </w:numPr>
              <w:spacing w:after="80" w:line="260" w:lineRule="auto"/>
            </w:pPr>
            <w:r>
              <w:rPr>
                <w:sz w:val="17"/>
                <w:szCs w:val="17"/>
              </w:rPr>
              <w:t>The licensed third-party base model remains within its contracted scope, with audit and immediate-cessation rights in force.</w:t>
            </w:r>
          </w:p>
        </w:tc>
        <w:tc>
          <w:tcPr>
            <w:tcW w:w="5233" w:type="dxa"/>
            <w:tcBorders>
              <w:top w:val="single" w:sz="4" w:space="0" w:color="D9D9D9"/>
              <w:left w:val="single" w:sz="24" w:space="0" w:color="AA0605"/>
              <w:bottom w:val="single" w:sz="4" w:space="0" w:color="D9D9D9"/>
              <w:right w:val="single" w:sz="4" w:space="0" w:color="D9D9D9"/>
            </w:tcBorders>
            <w:shd w:val="clear" w:color="auto" w:fill="FDEDED"/>
            <w:tcMar>
              <w:top w:w="160" w:type="dxa"/>
              <w:left w:w="180" w:type="dxa"/>
              <w:bottom w:w="160" w:type="dxa"/>
              <w:right w:w="180" w:type="dxa"/>
            </w:tcMar>
          </w:tcPr>
          <w:p w14:paraId="57AF6476" w14:textId="77777777" w:rsidR="00F467AE" w:rsidRDefault="00000000">
            <w:pPr>
              <w:spacing w:after="100"/>
            </w:pPr>
            <w:r>
              <w:rPr>
                <w:b/>
                <w:bCs/>
                <w:color w:val="AA0605"/>
                <w:sz w:val="19"/>
                <w:szCs w:val="19"/>
              </w:rPr>
              <w:t>Outside the tested envelope</w:t>
            </w:r>
          </w:p>
          <w:p w14:paraId="7EADE638" w14:textId="77777777" w:rsidR="00F467AE" w:rsidRDefault="00000000">
            <w:pPr>
              <w:pStyle w:val="ListParagraph"/>
              <w:numPr>
                <w:ilvl w:val="0"/>
                <w:numId w:val="1"/>
              </w:numPr>
              <w:spacing w:after="80" w:line="260" w:lineRule="auto"/>
            </w:pPr>
            <w:r>
              <w:rPr>
                <w:sz w:val="17"/>
                <w:szCs w:val="17"/>
              </w:rPr>
              <w:t xml:space="preserve">Newly onboarded employers with thin transaction history — a known higher false-positive segment, not yet separately </w:t>
            </w:r>
            <w:proofErr w:type="spellStart"/>
            <w:r>
              <w:rPr>
                <w:sz w:val="17"/>
                <w:szCs w:val="17"/>
              </w:rPr>
              <w:t>thresholded</w:t>
            </w:r>
            <w:proofErr w:type="spellEnd"/>
            <w:r>
              <w:rPr>
                <w:sz w:val="17"/>
                <w:szCs w:val="17"/>
              </w:rPr>
              <w:t>. Route to human review regardless of score.</w:t>
            </w:r>
          </w:p>
          <w:p w14:paraId="7065ED00" w14:textId="77777777" w:rsidR="00F467AE" w:rsidRDefault="00000000">
            <w:pPr>
              <w:pStyle w:val="ListParagraph"/>
              <w:numPr>
                <w:ilvl w:val="0"/>
                <w:numId w:val="1"/>
              </w:numPr>
              <w:spacing w:after="80" w:line="260" w:lineRule="auto"/>
            </w:pPr>
            <w:r>
              <w:rPr>
                <w:sz w:val="17"/>
                <w:szCs w:val="17"/>
              </w:rPr>
              <w:t>Cross-border or non-UAE payroll processing — outside the tested scope and a different regulatory regime.</w:t>
            </w:r>
          </w:p>
          <w:p w14:paraId="1142002E" w14:textId="77777777" w:rsidR="00F467AE" w:rsidRDefault="00000000">
            <w:pPr>
              <w:pStyle w:val="ListParagraph"/>
              <w:numPr>
                <w:ilvl w:val="0"/>
                <w:numId w:val="1"/>
              </w:numPr>
              <w:spacing w:after="80" w:line="260" w:lineRule="auto"/>
            </w:pPr>
            <w:r>
              <w:rPr>
                <w:sz w:val="17"/>
                <w:szCs w:val="17"/>
              </w:rPr>
              <w:t>Any deployment where the human-review queue is bypassed, or the 0.72 threshold is changed without a fresh conformity-impact review.</w:t>
            </w:r>
          </w:p>
          <w:p w14:paraId="2C0D9CD5" w14:textId="77777777" w:rsidR="00F467AE" w:rsidRDefault="00000000">
            <w:pPr>
              <w:pStyle w:val="ListParagraph"/>
              <w:numPr>
                <w:ilvl w:val="0"/>
                <w:numId w:val="1"/>
              </w:numPr>
              <w:spacing w:after="80" w:line="260" w:lineRule="auto"/>
            </w:pPr>
            <w:r>
              <w:rPr>
                <w:sz w:val="17"/>
                <w:szCs w:val="17"/>
              </w:rPr>
              <w:t>Continued reliance on the outsourced base model beyond the 30-day remediation window without a refreshed cybersecurity review (CBUAE Section 9 finding, below).</w:t>
            </w:r>
          </w:p>
        </w:tc>
      </w:tr>
    </w:tbl>
    <w:p w14:paraId="26BA1FC9" w14:textId="77777777" w:rsidR="00F467AE" w:rsidRDefault="00000000">
      <w:r>
        <w:br w:type="page"/>
      </w:r>
    </w:p>
    <w:p w14:paraId="4D62211C" w14:textId="77777777" w:rsidR="00F467AE" w:rsidRDefault="00000000">
      <w:pPr>
        <w:spacing w:after="60"/>
      </w:pPr>
      <w:r>
        <w:rPr>
          <w:b/>
          <w:bCs/>
          <w:color w:val="AA0605"/>
          <w:spacing w:val="20"/>
          <w:sz w:val="16"/>
          <w:szCs w:val="16"/>
        </w:rPr>
        <w:lastRenderedPageBreak/>
        <w:t>RISK ASSESSMENT</w:t>
      </w:r>
    </w:p>
    <w:p w14:paraId="489D06C3" w14:textId="77777777" w:rsidR="00F467AE" w:rsidRDefault="00000000">
      <w:pPr>
        <w:pStyle w:val="Heading1"/>
        <w:pBdr>
          <w:bottom w:val="single" w:sz="6" w:space="6" w:color="AA0605"/>
        </w:pBdr>
        <w:spacing w:before="240" w:after="160"/>
      </w:pPr>
      <w:r>
        <w:rPr>
          <w:b/>
          <w:bCs/>
          <w:color w:val="1F1F1F"/>
          <w:sz w:val="30"/>
          <w:szCs w:val="30"/>
        </w:rPr>
        <w:t>Risk assessment</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88"/>
        <w:gridCol w:w="3488"/>
        <w:gridCol w:w="3490"/>
      </w:tblGrid>
      <w:tr w:rsidR="00F467AE" w14:paraId="1D153419" w14:textId="77777777">
        <w:tc>
          <w:tcPr>
            <w:tcW w:w="3488" w:type="dxa"/>
            <w:tcBorders>
              <w:top w:val="single" w:sz="4" w:space="0" w:color="D9D9D9"/>
              <w:left w:val="single" w:sz="4" w:space="0" w:color="D9D9D9"/>
              <w:bottom w:val="single" w:sz="4" w:space="0" w:color="D9D9D9"/>
              <w:right w:val="single" w:sz="4" w:space="0" w:color="D9D9D9"/>
            </w:tcBorders>
            <w:shd w:val="clear" w:color="auto" w:fill="FBFBFB"/>
            <w:tcMar>
              <w:top w:w="160" w:type="dxa"/>
              <w:left w:w="160" w:type="dxa"/>
              <w:bottom w:w="160" w:type="dxa"/>
              <w:right w:w="160" w:type="dxa"/>
            </w:tcMar>
          </w:tcPr>
          <w:p w14:paraId="4B194DA4" w14:textId="77777777" w:rsidR="00F467AE" w:rsidRDefault="00000000">
            <w:pPr>
              <w:spacing w:after="60"/>
            </w:pPr>
            <w:r>
              <w:rPr>
                <w:b/>
                <w:bCs/>
                <w:color w:val="4A4A4A"/>
                <w:spacing w:val="6"/>
                <w:sz w:val="14"/>
                <w:szCs w:val="14"/>
              </w:rPr>
              <w:t>RISK VECTORS TESTED</w:t>
            </w:r>
          </w:p>
          <w:p w14:paraId="24C46E83" w14:textId="77777777" w:rsidR="00F467AE" w:rsidRDefault="00000000">
            <w:pPr>
              <w:spacing w:after="40"/>
            </w:pPr>
            <w:r>
              <w:rPr>
                <w:b/>
                <w:bCs/>
                <w:sz w:val="40"/>
                <w:szCs w:val="40"/>
              </w:rPr>
              <w:t>21</w:t>
            </w:r>
          </w:p>
          <w:p w14:paraId="1ED05A94" w14:textId="77777777" w:rsidR="00F467AE" w:rsidRDefault="00000000">
            <w:r>
              <w:rPr>
                <w:color w:val="4A4A4A"/>
                <w:sz w:val="15"/>
                <w:szCs w:val="15"/>
              </w:rPr>
              <w:t>of 23 applicable</w:t>
            </w:r>
          </w:p>
        </w:tc>
        <w:tc>
          <w:tcPr>
            <w:tcW w:w="3488" w:type="dxa"/>
            <w:tcBorders>
              <w:top w:val="single" w:sz="4" w:space="0" w:color="D9D9D9"/>
              <w:left w:val="single" w:sz="4" w:space="0" w:color="D9D9D9"/>
              <w:bottom w:val="single" w:sz="4" w:space="0" w:color="D9D9D9"/>
              <w:right w:val="single" w:sz="4" w:space="0" w:color="D9D9D9"/>
            </w:tcBorders>
            <w:shd w:val="clear" w:color="auto" w:fill="FBFBFB"/>
            <w:tcMar>
              <w:top w:w="160" w:type="dxa"/>
              <w:left w:w="160" w:type="dxa"/>
              <w:bottom w:w="160" w:type="dxa"/>
              <w:right w:w="160" w:type="dxa"/>
            </w:tcMar>
          </w:tcPr>
          <w:p w14:paraId="3A2FA214" w14:textId="77777777" w:rsidR="00F467AE" w:rsidRDefault="00000000">
            <w:pPr>
              <w:spacing w:after="60"/>
            </w:pPr>
            <w:r>
              <w:rPr>
                <w:b/>
                <w:bCs/>
                <w:color w:val="4A4A4A"/>
                <w:spacing w:val="6"/>
                <w:sz w:val="14"/>
                <w:szCs w:val="14"/>
              </w:rPr>
              <w:t>OPEN FINDINGS</w:t>
            </w:r>
          </w:p>
          <w:p w14:paraId="5069A997" w14:textId="77777777" w:rsidR="00F467AE" w:rsidRDefault="00000000">
            <w:pPr>
              <w:spacing w:after="40"/>
            </w:pPr>
            <w:r>
              <w:rPr>
                <w:b/>
                <w:bCs/>
                <w:color w:val="6E0403"/>
                <w:sz w:val="40"/>
                <w:szCs w:val="40"/>
              </w:rPr>
              <w:t>1</w:t>
            </w:r>
          </w:p>
          <w:p w14:paraId="009BD4E9" w14:textId="77777777" w:rsidR="00F467AE" w:rsidRDefault="00000000">
            <w:r>
              <w:rPr>
                <w:color w:val="4A4A4A"/>
                <w:sz w:val="15"/>
                <w:szCs w:val="15"/>
              </w:rPr>
              <w:t>HIGH severity</w:t>
            </w:r>
          </w:p>
        </w:tc>
        <w:tc>
          <w:tcPr>
            <w:tcW w:w="3490" w:type="dxa"/>
            <w:tcBorders>
              <w:top w:val="single" w:sz="4" w:space="0" w:color="D9D9D9"/>
              <w:left w:val="single" w:sz="4" w:space="0" w:color="D9D9D9"/>
              <w:bottom w:val="single" w:sz="4" w:space="0" w:color="D9D9D9"/>
              <w:right w:val="single" w:sz="4" w:space="0" w:color="D9D9D9"/>
            </w:tcBorders>
            <w:shd w:val="clear" w:color="auto" w:fill="FBFBFB"/>
            <w:tcMar>
              <w:top w:w="160" w:type="dxa"/>
              <w:left w:w="160" w:type="dxa"/>
              <w:bottom w:w="160" w:type="dxa"/>
              <w:right w:w="160" w:type="dxa"/>
            </w:tcMar>
          </w:tcPr>
          <w:p w14:paraId="754393F5" w14:textId="77777777" w:rsidR="00F467AE" w:rsidRDefault="00000000">
            <w:pPr>
              <w:spacing w:after="60"/>
            </w:pPr>
            <w:r>
              <w:rPr>
                <w:b/>
                <w:bCs/>
                <w:color w:val="4A4A4A"/>
                <w:spacing w:val="6"/>
                <w:sz w:val="14"/>
                <w:szCs w:val="14"/>
              </w:rPr>
              <w:t>CLEAR</w:t>
            </w:r>
          </w:p>
          <w:p w14:paraId="3C900961" w14:textId="77777777" w:rsidR="00F467AE" w:rsidRDefault="00000000">
            <w:pPr>
              <w:spacing w:after="40"/>
            </w:pPr>
            <w:r>
              <w:rPr>
                <w:b/>
                <w:bCs/>
                <w:color w:val="1E7B34"/>
                <w:sz w:val="40"/>
                <w:szCs w:val="40"/>
              </w:rPr>
              <w:t>20</w:t>
            </w:r>
          </w:p>
          <w:p w14:paraId="7CC49857" w14:textId="77777777" w:rsidR="00F467AE" w:rsidRDefault="00000000">
            <w:r>
              <w:rPr>
                <w:color w:val="4A4A4A"/>
                <w:sz w:val="15"/>
                <w:szCs w:val="15"/>
              </w:rPr>
              <w:t>no action needed</w:t>
            </w:r>
          </w:p>
        </w:tc>
      </w:tr>
    </w:tbl>
    <w:p w14:paraId="517C6B89" w14:textId="77777777" w:rsidR="00F467AE" w:rsidRDefault="00F467AE">
      <w:pPr>
        <w:spacing w:after="200"/>
      </w:pPr>
    </w:p>
    <w:p w14:paraId="2D365969" w14:textId="62077C75" w:rsidR="00F467AE" w:rsidRDefault="00000000">
      <w:pPr>
        <w:spacing w:after="120" w:line="300" w:lineRule="auto"/>
      </w:pPr>
      <w:r>
        <w:t xml:space="preserve">Overall risk posture: one open risk vector </w:t>
      </w:r>
      <w:r w:rsidR="00E248AE">
        <w:t>for</w:t>
      </w:r>
      <w:r>
        <w:t xml:space="preserve"> third-party model provenance and review currency is rated HIGH; every other assessed category (governance, fairness, transparency, data security, human oversight, continuous monitoring, certification) is clear. Residual exposure while the finding remains open is a delay in detecting a security lapse at the third-party provider between reviews; this is mitigated by the existing contractual audit and immediate-cessation rights, and by BASTYN's continuous monitoring remaining active throughout the remediation window. Full detail: Conformity Assessment Pack, Part 3, Section 9.</w:t>
      </w:r>
    </w:p>
    <w:p w14:paraId="1910E78A" w14:textId="77777777" w:rsidR="00F467AE" w:rsidRDefault="00F467AE">
      <w:pPr>
        <w:spacing w:after="240"/>
      </w:pPr>
    </w:p>
    <w:p w14:paraId="388F5D2B" w14:textId="77777777" w:rsidR="00F467AE" w:rsidRDefault="00000000">
      <w:pPr>
        <w:pStyle w:val="Heading1"/>
        <w:pBdr>
          <w:bottom w:val="single" w:sz="6" w:space="6" w:color="AA0605"/>
        </w:pBdr>
        <w:spacing w:before="240" w:after="160"/>
      </w:pPr>
      <w:r>
        <w:rPr>
          <w:b/>
          <w:bCs/>
          <w:color w:val="1F1F1F"/>
          <w:sz w:val="30"/>
          <w:szCs w:val="30"/>
        </w:rPr>
        <w:t>Test findings summary</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16"/>
        <w:gridCol w:w="2616"/>
        <w:gridCol w:w="2616"/>
        <w:gridCol w:w="2618"/>
      </w:tblGrid>
      <w:tr w:rsidR="00F467AE" w14:paraId="64E9F544" w14:textId="77777777">
        <w:tc>
          <w:tcPr>
            <w:tcW w:w="2616" w:type="dxa"/>
            <w:tcBorders>
              <w:top w:val="single" w:sz="4" w:space="0" w:color="D9D9D9"/>
              <w:left w:val="single" w:sz="4" w:space="0" w:color="D9D9D9"/>
              <w:bottom w:val="single" w:sz="4" w:space="0" w:color="D9D9D9"/>
              <w:right w:val="single" w:sz="4" w:space="0" w:color="D9D9D9"/>
            </w:tcBorders>
            <w:shd w:val="clear" w:color="auto" w:fill="FBFBFB"/>
            <w:tcMar>
              <w:top w:w="160" w:type="dxa"/>
              <w:left w:w="160" w:type="dxa"/>
              <w:bottom w:w="160" w:type="dxa"/>
              <w:right w:w="160" w:type="dxa"/>
            </w:tcMar>
          </w:tcPr>
          <w:p w14:paraId="6EF611C3" w14:textId="77777777" w:rsidR="00F467AE" w:rsidRDefault="00000000">
            <w:pPr>
              <w:spacing w:after="60"/>
            </w:pPr>
            <w:r>
              <w:rPr>
                <w:b/>
                <w:bCs/>
                <w:color w:val="4A4A4A"/>
                <w:spacing w:val="6"/>
                <w:sz w:val="14"/>
                <w:szCs w:val="14"/>
              </w:rPr>
              <w:t>TESTS EXECUTED</w:t>
            </w:r>
          </w:p>
          <w:p w14:paraId="71144931" w14:textId="77777777" w:rsidR="00F467AE" w:rsidRDefault="00000000">
            <w:pPr>
              <w:spacing w:after="40"/>
            </w:pPr>
            <w:r>
              <w:rPr>
                <w:b/>
                <w:bCs/>
                <w:sz w:val="40"/>
                <w:szCs w:val="40"/>
              </w:rPr>
              <w:t>126</w:t>
            </w:r>
          </w:p>
          <w:p w14:paraId="3248D776" w14:textId="77777777" w:rsidR="00F467AE" w:rsidRDefault="00000000">
            <w:r>
              <w:rPr>
                <w:color w:val="4A4A4A"/>
                <w:sz w:val="15"/>
                <w:szCs w:val="15"/>
              </w:rPr>
              <w:t>Pass rate 96.8%</w:t>
            </w:r>
          </w:p>
        </w:tc>
        <w:tc>
          <w:tcPr>
            <w:tcW w:w="2616" w:type="dxa"/>
            <w:tcBorders>
              <w:top w:val="single" w:sz="4" w:space="0" w:color="D9D9D9"/>
              <w:left w:val="single" w:sz="4" w:space="0" w:color="D9D9D9"/>
              <w:bottom w:val="single" w:sz="4" w:space="0" w:color="D9D9D9"/>
              <w:right w:val="single" w:sz="4" w:space="0" w:color="D9D9D9"/>
            </w:tcBorders>
            <w:shd w:val="clear" w:color="auto" w:fill="FBFBFB"/>
            <w:tcMar>
              <w:top w:w="160" w:type="dxa"/>
              <w:left w:w="160" w:type="dxa"/>
              <w:bottom w:w="160" w:type="dxa"/>
              <w:right w:w="160" w:type="dxa"/>
            </w:tcMar>
          </w:tcPr>
          <w:p w14:paraId="2F7E8AAE" w14:textId="77777777" w:rsidR="00F467AE" w:rsidRDefault="00000000">
            <w:pPr>
              <w:spacing w:after="60"/>
            </w:pPr>
            <w:r>
              <w:rPr>
                <w:b/>
                <w:bCs/>
                <w:color w:val="4A4A4A"/>
                <w:spacing w:val="6"/>
                <w:sz w:val="14"/>
                <w:szCs w:val="14"/>
              </w:rPr>
              <w:t>PASSED</w:t>
            </w:r>
          </w:p>
          <w:p w14:paraId="249B139F" w14:textId="77777777" w:rsidR="00F467AE" w:rsidRDefault="00000000">
            <w:pPr>
              <w:spacing w:after="40"/>
            </w:pPr>
            <w:r>
              <w:rPr>
                <w:b/>
                <w:bCs/>
                <w:color w:val="1E7B34"/>
                <w:sz w:val="40"/>
                <w:szCs w:val="40"/>
              </w:rPr>
              <w:t>122</w:t>
            </w:r>
          </w:p>
          <w:p w14:paraId="6C4C8F81" w14:textId="77777777" w:rsidR="00F467AE" w:rsidRDefault="00000000">
            <w:r>
              <w:rPr>
                <w:color w:val="4A4A4A"/>
                <w:sz w:val="15"/>
                <w:szCs w:val="15"/>
              </w:rPr>
              <w:t>96.8%</w:t>
            </w:r>
          </w:p>
        </w:tc>
        <w:tc>
          <w:tcPr>
            <w:tcW w:w="2616" w:type="dxa"/>
            <w:tcBorders>
              <w:top w:val="single" w:sz="4" w:space="0" w:color="D9D9D9"/>
              <w:left w:val="single" w:sz="4" w:space="0" w:color="D9D9D9"/>
              <w:bottom w:val="single" w:sz="4" w:space="0" w:color="D9D9D9"/>
              <w:right w:val="single" w:sz="4" w:space="0" w:color="D9D9D9"/>
            </w:tcBorders>
            <w:shd w:val="clear" w:color="auto" w:fill="FBFBFB"/>
            <w:tcMar>
              <w:top w:w="160" w:type="dxa"/>
              <w:left w:w="160" w:type="dxa"/>
              <w:bottom w:w="160" w:type="dxa"/>
              <w:right w:w="160" w:type="dxa"/>
            </w:tcMar>
          </w:tcPr>
          <w:p w14:paraId="502A3269" w14:textId="77777777" w:rsidR="00F467AE" w:rsidRDefault="00000000">
            <w:pPr>
              <w:spacing w:after="60"/>
            </w:pPr>
            <w:r>
              <w:rPr>
                <w:b/>
                <w:bCs/>
                <w:color w:val="4A4A4A"/>
                <w:spacing w:val="6"/>
                <w:sz w:val="14"/>
                <w:szCs w:val="14"/>
              </w:rPr>
              <w:t>FAILED</w:t>
            </w:r>
          </w:p>
          <w:p w14:paraId="7DDCCB38" w14:textId="77777777" w:rsidR="00F467AE" w:rsidRDefault="00000000">
            <w:pPr>
              <w:spacing w:after="40"/>
            </w:pPr>
            <w:r>
              <w:rPr>
                <w:b/>
                <w:bCs/>
                <w:color w:val="6E0403"/>
                <w:sz w:val="40"/>
                <w:szCs w:val="40"/>
              </w:rPr>
              <w:t>1</w:t>
            </w:r>
          </w:p>
          <w:p w14:paraId="1A6D24D3" w14:textId="77777777" w:rsidR="00F467AE" w:rsidRDefault="00000000">
            <w:r>
              <w:rPr>
                <w:color w:val="4A4A4A"/>
                <w:sz w:val="15"/>
                <w:szCs w:val="15"/>
              </w:rPr>
              <w:t>0.8%</w:t>
            </w:r>
          </w:p>
        </w:tc>
        <w:tc>
          <w:tcPr>
            <w:tcW w:w="2618" w:type="dxa"/>
            <w:tcBorders>
              <w:top w:val="single" w:sz="4" w:space="0" w:color="D9D9D9"/>
              <w:left w:val="single" w:sz="4" w:space="0" w:color="D9D9D9"/>
              <w:bottom w:val="single" w:sz="4" w:space="0" w:color="D9D9D9"/>
              <w:right w:val="single" w:sz="4" w:space="0" w:color="D9D9D9"/>
            </w:tcBorders>
            <w:shd w:val="clear" w:color="auto" w:fill="FBFBFB"/>
            <w:tcMar>
              <w:top w:w="160" w:type="dxa"/>
              <w:left w:w="160" w:type="dxa"/>
              <w:bottom w:w="160" w:type="dxa"/>
              <w:right w:w="160" w:type="dxa"/>
            </w:tcMar>
          </w:tcPr>
          <w:p w14:paraId="682A6155" w14:textId="77777777" w:rsidR="00F467AE" w:rsidRDefault="00000000">
            <w:pPr>
              <w:spacing w:after="60"/>
            </w:pPr>
            <w:r>
              <w:rPr>
                <w:b/>
                <w:bCs/>
                <w:color w:val="4A4A4A"/>
                <w:spacing w:val="6"/>
                <w:sz w:val="14"/>
                <w:szCs w:val="14"/>
              </w:rPr>
              <w:t>NOT RUN</w:t>
            </w:r>
          </w:p>
          <w:p w14:paraId="3CE4D9F0" w14:textId="77777777" w:rsidR="00F467AE" w:rsidRDefault="00000000">
            <w:pPr>
              <w:spacing w:after="40"/>
            </w:pPr>
            <w:r>
              <w:rPr>
                <w:b/>
                <w:bCs/>
                <w:color w:val="4A4A4A"/>
                <w:sz w:val="40"/>
                <w:szCs w:val="40"/>
              </w:rPr>
              <w:t>3</w:t>
            </w:r>
          </w:p>
          <w:p w14:paraId="3289A0C8" w14:textId="77777777" w:rsidR="00F467AE" w:rsidRDefault="00000000">
            <w:r>
              <w:rPr>
                <w:color w:val="4A4A4A"/>
                <w:sz w:val="15"/>
                <w:szCs w:val="15"/>
              </w:rPr>
              <w:t>2.4% — capability not present</w:t>
            </w:r>
          </w:p>
        </w:tc>
      </w:tr>
    </w:tbl>
    <w:p w14:paraId="7E731F05" w14:textId="77777777" w:rsidR="00F467AE" w:rsidRDefault="00F467AE">
      <w:pPr>
        <w:spacing w:after="160"/>
      </w:pPr>
    </w:p>
    <w:p w14:paraId="217A038C" w14:textId="77777777" w:rsidR="00F467AE" w:rsidRDefault="00000000">
      <w:pPr>
        <w:spacing w:after="120" w:line="300" w:lineRule="auto"/>
      </w:pPr>
      <w:r>
        <w:rPr>
          <w:i/>
          <w:iCs/>
          <w:color w:val="4A4A4A"/>
        </w:rPr>
        <w:t>Full vector-by-vector results, the compliance scorecard and the underlying evidence extracts are set out in the BASTYN Evidence Pack.</w:t>
      </w:r>
    </w:p>
    <w:p w14:paraId="60E6C795" w14:textId="77777777" w:rsidR="00F467AE" w:rsidRDefault="00000000">
      <w:r>
        <w:br w:type="page"/>
      </w:r>
    </w:p>
    <w:p w14:paraId="1083820A" w14:textId="77777777" w:rsidR="00F467AE" w:rsidRDefault="00000000">
      <w:pPr>
        <w:spacing w:after="60"/>
      </w:pPr>
      <w:r>
        <w:rPr>
          <w:b/>
          <w:bCs/>
          <w:color w:val="AA0605"/>
          <w:spacing w:val="20"/>
          <w:sz w:val="16"/>
          <w:szCs w:val="16"/>
        </w:rPr>
        <w:lastRenderedPageBreak/>
        <w:t>ASSESSMENT SUMMARY</w:t>
      </w:r>
    </w:p>
    <w:p w14:paraId="2020641F" w14:textId="77777777" w:rsidR="00F467AE" w:rsidRDefault="00000000">
      <w:pPr>
        <w:pStyle w:val="Heading1"/>
        <w:pBdr>
          <w:bottom w:val="single" w:sz="6" w:space="6" w:color="AA0605"/>
        </w:pBdr>
        <w:spacing w:before="240" w:after="160"/>
      </w:pPr>
      <w:r>
        <w:rPr>
          <w:b/>
          <w:bCs/>
          <w:color w:val="1F1F1F"/>
          <w:sz w:val="30"/>
          <w:szCs w:val="30"/>
        </w:rPr>
        <w:t>Principle-by-</w:t>
      </w:r>
      <w:proofErr w:type="gramStart"/>
      <w:r>
        <w:rPr>
          <w:b/>
          <w:bCs/>
          <w:color w:val="1F1F1F"/>
          <w:sz w:val="30"/>
          <w:szCs w:val="30"/>
        </w:rPr>
        <w:t>principle</w:t>
      </w:r>
      <w:proofErr w:type="gramEnd"/>
      <w:r>
        <w:rPr>
          <w:b/>
          <w:bCs/>
          <w:color w:val="1F1F1F"/>
          <w:sz w:val="30"/>
          <w:szCs w:val="30"/>
        </w:rPr>
        <w:t xml:space="preserve"> status</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0"/>
        <w:gridCol w:w="5566"/>
        <w:gridCol w:w="2400"/>
      </w:tblGrid>
      <w:tr w:rsidR="00F467AE" w14:paraId="1CCEB248" w14:textId="77777777">
        <w:trPr>
          <w:tblHeader/>
        </w:trPr>
        <w:tc>
          <w:tcPr>
            <w:tcW w:w="2500" w:type="dxa"/>
            <w:tcBorders>
              <w:top w:val="single" w:sz="4" w:space="0" w:color="D9D9D9"/>
              <w:left w:val="single" w:sz="4" w:space="0" w:color="D9D9D9"/>
              <w:bottom w:val="single" w:sz="4" w:space="0" w:color="D9D9D9"/>
              <w:right w:val="single" w:sz="4" w:space="0" w:color="D9D9D9"/>
            </w:tcBorders>
            <w:shd w:val="clear" w:color="auto" w:fill="AA0605"/>
            <w:tcMar>
              <w:top w:w="80" w:type="dxa"/>
              <w:left w:w="110" w:type="dxa"/>
              <w:bottom w:w="80" w:type="dxa"/>
              <w:right w:w="110" w:type="dxa"/>
            </w:tcMar>
            <w:vAlign w:val="center"/>
          </w:tcPr>
          <w:p w14:paraId="15ADAC5E" w14:textId="77777777" w:rsidR="00F467AE" w:rsidRDefault="00000000">
            <w:r>
              <w:rPr>
                <w:b/>
                <w:bCs/>
                <w:color w:val="FFFFFF"/>
                <w:sz w:val="18"/>
                <w:szCs w:val="18"/>
              </w:rPr>
              <w:t>Principle</w:t>
            </w:r>
          </w:p>
        </w:tc>
        <w:tc>
          <w:tcPr>
            <w:tcW w:w="5566" w:type="dxa"/>
            <w:tcBorders>
              <w:top w:val="single" w:sz="4" w:space="0" w:color="D9D9D9"/>
              <w:left w:val="single" w:sz="4" w:space="0" w:color="D9D9D9"/>
              <w:bottom w:val="single" w:sz="4" w:space="0" w:color="D9D9D9"/>
              <w:right w:val="single" w:sz="4" w:space="0" w:color="D9D9D9"/>
            </w:tcBorders>
            <w:shd w:val="clear" w:color="auto" w:fill="AA0605"/>
            <w:tcMar>
              <w:top w:w="80" w:type="dxa"/>
              <w:left w:w="110" w:type="dxa"/>
              <w:bottom w:w="80" w:type="dxa"/>
              <w:right w:w="110" w:type="dxa"/>
            </w:tcMar>
            <w:vAlign w:val="center"/>
          </w:tcPr>
          <w:p w14:paraId="42BA40FB" w14:textId="77777777" w:rsidR="00F467AE" w:rsidRDefault="00000000">
            <w:r>
              <w:rPr>
                <w:b/>
                <w:bCs/>
                <w:color w:val="FFFFFF"/>
                <w:sz w:val="18"/>
                <w:szCs w:val="18"/>
              </w:rPr>
              <w:t>What was checked</w:t>
            </w:r>
          </w:p>
        </w:tc>
        <w:tc>
          <w:tcPr>
            <w:tcW w:w="2400" w:type="dxa"/>
            <w:tcBorders>
              <w:top w:val="single" w:sz="4" w:space="0" w:color="D9D9D9"/>
              <w:left w:val="single" w:sz="4" w:space="0" w:color="D9D9D9"/>
              <w:bottom w:val="single" w:sz="4" w:space="0" w:color="D9D9D9"/>
              <w:right w:val="single" w:sz="4" w:space="0" w:color="D9D9D9"/>
            </w:tcBorders>
            <w:shd w:val="clear" w:color="auto" w:fill="AA0605"/>
            <w:tcMar>
              <w:top w:w="80" w:type="dxa"/>
              <w:left w:w="110" w:type="dxa"/>
              <w:bottom w:w="80" w:type="dxa"/>
              <w:right w:w="110" w:type="dxa"/>
            </w:tcMar>
            <w:vAlign w:val="center"/>
          </w:tcPr>
          <w:p w14:paraId="7E5BA4D0" w14:textId="77777777" w:rsidR="00F467AE" w:rsidRDefault="00000000">
            <w:r>
              <w:rPr>
                <w:b/>
                <w:bCs/>
                <w:color w:val="FFFFFF"/>
                <w:sz w:val="18"/>
                <w:szCs w:val="18"/>
              </w:rPr>
              <w:t>Status</w:t>
            </w:r>
          </w:p>
        </w:tc>
      </w:tr>
      <w:tr w:rsidR="00F467AE" w14:paraId="68FB9B92" w14:textId="77777777">
        <w:tc>
          <w:tcPr>
            <w:tcW w:w="250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409A2B3B" w14:textId="77777777" w:rsidR="00F467AE" w:rsidRDefault="00000000">
            <w:pPr>
              <w:spacing w:line="260" w:lineRule="auto"/>
            </w:pPr>
            <w:r>
              <w:rPr>
                <w:b/>
                <w:bCs/>
                <w:sz w:val="18"/>
                <w:szCs w:val="18"/>
              </w:rPr>
              <w:t>Governance &amp; accountability</w:t>
            </w:r>
          </w:p>
        </w:tc>
        <w:tc>
          <w:tcPr>
            <w:tcW w:w="5566"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75793D50" w14:textId="77777777" w:rsidR="00F467AE" w:rsidRDefault="00000000">
            <w:pPr>
              <w:spacing w:line="260" w:lineRule="auto"/>
            </w:pPr>
            <w:r>
              <w:rPr>
                <w:sz w:val="18"/>
                <w:szCs w:val="18"/>
              </w:rPr>
              <w:t>ASO appointed (DIFC) / Board &amp; Senior Management accountable (CBUAE)</w:t>
            </w:r>
          </w:p>
        </w:tc>
        <w:tc>
          <w:tcPr>
            <w:tcW w:w="240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47321FD2" w14:textId="77777777" w:rsidR="00F467AE" w:rsidRDefault="00000000">
            <w:pPr>
              <w:shd w:val="clear" w:color="auto" w:fill="1E7B34"/>
              <w:spacing w:before="20" w:after="20"/>
              <w:jc w:val="center"/>
            </w:pPr>
            <w:r>
              <w:rPr>
                <w:b/>
                <w:bCs/>
                <w:color w:val="FFFFFF"/>
                <w:sz w:val="15"/>
                <w:szCs w:val="15"/>
              </w:rPr>
              <w:t>Verified</w:t>
            </w:r>
          </w:p>
        </w:tc>
      </w:tr>
      <w:tr w:rsidR="00F467AE" w14:paraId="1561AF60" w14:textId="77777777">
        <w:tc>
          <w:tcPr>
            <w:tcW w:w="250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178C198A" w14:textId="77777777" w:rsidR="00F467AE" w:rsidRDefault="00000000">
            <w:pPr>
              <w:spacing w:line="260" w:lineRule="auto"/>
            </w:pPr>
            <w:r>
              <w:rPr>
                <w:b/>
                <w:bCs/>
                <w:sz w:val="18"/>
                <w:szCs w:val="18"/>
              </w:rPr>
              <w:t>System classification &amp; inventory</w:t>
            </w:r>
          </w:p>
        </w:tc>
        <w:tc>
          <w:tcPr>
            <w:tcW w:w="5566"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74BC9361" w14:textId="77777777" w:rsidR="00F467AE" w:rsidRDefault="00000000">
            <w:pPr>
              <w:spacing w:line="260" w:lineRule="auto"/>
            </w:pPr>
            <w:r>
              <w:rPr>
                <w:sz w:val="18"/>
                <w:szCs w:val="18"/>
              </w:rPr>
              <w:t>High Risk Processing determination / AI model inventory entry</w:t>
            </w:r>
          </w:p>
        </w:tc>
        <w:tc>
          <w:tcPr>
            <w:tcW w:w="240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016EDEB0" w14:textId="77777777" w:rsidR="00F467AE" w:rsidRDefault="00000000">
            <w:pPr>
              <w:shd w:val="clear" w:color="auto" w:fill="1E7B34"/>
              <w:spacing w:before="20" w:after="20"/>
              <w:jc w:val="center"/>
            </w:pPr>
            <w:r>
              <w:rPr>
                <w:b/>
                <w:bCs/>
                <w:color w:val="FFFFFF"/>
                <w:sz w:val="15"/>
                <w:szCs w:val="15"/>
              </w:rPr>
              <w:t>Verified</w:t>
            </w:r>
          </w:p>
        </w:tc>
      </w:tr>
      <w:tr w:rsidR="00F467AE" w14:paraId="5FFF86F1" w14:textId="77777777">
        <w:tc>
          <w:tcPr>
            <w:tcW w:w="250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5F91BA82" w14:textId="77777777" w:rsidR="00F467AE" w:rsidRDefault="00000000">
            <w:pPr>
              <w:spacing w:line="260" w:lineRule="auto"/>
            </w:pPr>
            <w:r>
              <w:rPr>
                <w:b/>
                <w:bCs/>
                <w:sz w:val="18"/>
                <w:szCs w:val="18"/>
              </w:rPr>
              <w:t>AI impact assessment</w:t>
            </w:r>
          </w:p>
        </w:tc>
        <w:tc>
          <w:tcPr>
            <w:tcW w:w="5566"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74AD0140" w14:textId="77777777" w:rsidR="00F467AE" w:rsidRDefault="00000000">
            <w:pPr>
              <w:spacing w:line="260" w:lineRule="auto"/>
            </w:pPr>
            <w:r>
              <w:rPr>
                <w:sz w:val="18"/>
                <w:szCs w:val="18"/>
              </w:rPr>
              <w:t>DPIA-equivalent, refreshed quarterly or on change</w:t>
            </w:r>
          </w:p>
        </w:tc>
        <w:tc>
          <w:tcPr>
            <w:tcW w:w="240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2C15EBB0" w14:textId="77777777" w:rsidR="00F467AE" w:rsidRDefault="00000000">
            <w:pPr>
              <w:shd w:val="clear" w:color="auto" w:fill="1E7B34"/>
              <w:spacing w:before="20" w:after="20"/>
              <w:jc w:val="center"/>
            </w:pPr>
            <w:r>
              <w:rPr>
                <w:b/>
                <w:bCs/>
                <w:color w:val="FFFFFF"/>
                <w:sz w:val="15"/>
                <w:szCs w:val="15"/>
              </w:rPr>
              <w:t>Current</w:t>
            </w:r>
          </w:p>
        </w:tc>
      </w:tr>
      <w:tr w:rsidR="00F467AE" w14:paraId="514FE057" w14:textId="77777777">
        <w:tc>
          <w:tcPr>
            <w:tcW w:w="250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68E8BABE" w14:textId="77777777" w:rsidR="00F467AE" w:rsidRDefault="00000000">
            <w:pPr>
              <w:spacing w:line="260" w:lineRule="auto"/>
            </w:pPr>
            <w:r>
              <w:rPr>
                <w:b/>
                <w:bCs/>
                <w:sz w:val="18"/>
                <w:szCs w:val="18"/>
              </w:rPr>
              <w:t>Fairness &amp; non-discrimination</w:t>
            </w:r>
          </w:p>
        </w:tc>
        <w:tc>
          <w:tcPr>
            <w:tcW w:w="5566"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4350FA24" w14:textId="77777777" w:rsidR="00F467AE" w:rsidRDefault="00000000">
            <w:pPr>
              <w:spacing w:line="260" w:lineRule="auto"/>
            </w:pPr>
            <w:r>
              <w:rPr>
                <w:sz w:val="18"/>
                <w:szCs w:val="18"/>
              </w:rPr>
              <w:t>Disparate-impact testing across employer, sector, nationality bands</w:t>
            </w:r>
          </w:p>
        </w:tc>
        <w:tc>
          <w:tcPr>
            <w:tcW w:w="240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14991F3B" w14:textId="77777777" w:rsidR="00F467AE" w:rsidRDefault="00000000">
            <w:pPr>
              <w:shd w:val="clear" w:color="auto" w:fill="1E7B34"/>
              <w:spacing w:before="20" w:after="20"/>
              <w:jc w:val="center"/>
            </w:pPr>
            <w:r>
              <w:rPr>
                <w:b/>
                <w:bCs/>
                <w:color w:val="FFFFFF"/>
                <w:sz w:val="15"/>
                <w:szCs w:val="15"/>
              </w:rPr>
              <w:t>Pass — 21 Jul 2026</w:t>
            </w:r>
          </w:p>
        </w:tc>
      </w:tr>
      <w:tr w:rsidR="00F467AE" w14:paraId="06832C15" w14:textId="77777777">
        <w:tc>
          <w:tcPr>
            <w:tcW w:w="250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005E5582" w14:textId="77777777" w:rsidR="00F467AE" w:rsidRDefault="00000000">
            <w:pPr>
              <w:spacing w:line="260" w:lineRule="auto"/>
            </w:pPr>
            <w:r>
              <w:rPr>
                <w:b/>
                <w:bCs/>
                <w:sz w:val="18"/>
                <w:szCs w:val="18"/>
              </w:rPr>
              <w:t>Transparency &amp; explainability</w:t>
            </w:r>
          </w:p>
        </w:tc>
        <w:tc>
          <w:tcPr>
            <w:tcW w:w="5566"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3E02FEEB" w14:textId="77777777" w:rsidR="00F467AE" w:rsidRDefault="00000000">
            <w:pPr>
              <w:spacing w:line="260" w:lineRule="auto"/>
            </w:pPr>
            <w:r>
              <w:rPr>
                <w:sz w:val="18"/>
                <w:szCs w:val="18"/>
              </w:rPr>
              <w:t>SHAP-based attribution; employer/employee notices</w:t>
            </w:r>
          </w:p>
        </w:tc>
        <w:tc>
          <w:tcPr>
            <w:tcW w:w="240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13FA5B09" w14:textId="77777777" w:rsidR="00F467AE" w:rsidRDefault="00000000">
            <w:pPr>
              <w:shd w:val="clear" w:color="auto" w:fill="1E7B34"/>
              <w:spacing w:before="20" w:after="20"/>
              <w:jc w:val="center"/>
            </w:pPr>
            <w:r>
              <w:rPr>
                <w:b/>
                <w:bCs/>
                <w:color w:val="FFFFFF"/>
                <w:sz w:val="15"/>
                <w:szCs w:val="15"/>
              </w:rPr>
              <w:t>Verified</w:t>
            </w:r>
          </w:p>
        </w:tc>
      </w:tr>
      <w:tr w:rsidR="00F467AE" w14:paraId="15E214F2" w14:textId="77777777">
        <w:tc>
          <w:tcPr>
            <w:tcW w:w="250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713EE3DD" w14:textId="77777777" w:rsidR="00F467AE" w:rsidRDefault="00000000">
            <w:pPr>
              <w:spacing w:line="260" w:lineRule="auto"/>
            </w:pPr>
            <w:r>
              <w:rPr>
                <w:b/>
                <w:bCs/>
                <w:sz w:val="18"/>
                <w:szCs w:val="18"/>
              </w:rPr>
              <w:t>Data quality, privacy &amp; security</w:t>
            </w:r>
          </w:p>
        </w:tc>
        <w:tc>
          <w:tcPr>
            <w:tcW w:w="5566"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14B88502" w14:textId="77777777" w:rsidR="00F467AE" w:rsidRDefault="00000000">
            <w:pPr>
              <w:spacing w:line="260" w:lineRule="auto"/>
            </w:pPr>
            <w:r>
              <w:rPr>
                <w:sz w:val="18"/>
                <w:szCs w:val="18"/>
              </w:rPr>
              <w:t>UAE PDPL; encryption; access control</w:t>
            </w:r>
          </w:p>
        </w:tc>
        <w:tc>
          <w:tcPr>
            <w:tcW w:w="240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05D34A9D" w14:textId="77777777" w:rsidR="00F467AE" w:rsidRDefault="00000000">
            <w:pPr>
              <w:shd w:val="clear" w:color="auto" w:fill="1E7B34"/>
              <w:spacing w:before="20" w:after="20"/>
              <w:jc w:val="center"/>
            </w:pPr>
            <w:r>
              <w:rPr>
                <w:b/>
                <w:bCs/>
                <w:color w:val="FFFFFF"/>
                <w:sz w:val="15"/>
                <w:szCs w:val="15"/>
              </w:rPr>
              <w:t>Verified</w:t>
            </w:r>
          </w:p>
        </w:tc>
      </w:tr>
      <w:tr w:rsidR="00F467AE" w14:paraId="73D15260" w14:textId="77777777">
        <w:tc>
          <w:tcPr>
            <w:tcW w:w="250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1D4A4C53" w14:textId="77777777" w:rsidR="00F467AE" w:rsidRDefault="00000000">
            <w:pPr>
              <w:spacing w:line="260" w:lineRule="auto"/>
            </w:pPr>
            <w:r>
              <w:rPr>
                <w:b/>
                <w:bCs/>
                <w:sz w:val="18"/>
                <w:szCs w:val="18"/>
              </w:rPr>
              <w:t>Human oversight &amp; intervention</w:t>
            </w:r>
          </w:p>
        </w:tc>
        <w:tc>
          <w:tcPr>
            <w:tcW w:w="5566"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465EDFC6" w14:textId="77777777" w:rsidR="00F467AE" w:rsidRDefault="00000000">
            <w:pPr>
              <w:spacing w:line="260" w:lineRule="auto"/>
            </w:pPr>
            <w:r>
              <w:rPr>
                <w:sz w:val="18"/>
                <w:szCs w:val="18"/>
              </w:rPr>
              <w:t>Mandatory review above anomaly threshold; no auto-rejection</w:t>
            </w:r>
          </w:p>
        </w:tc>
        <w:tc>
          <w:tcPr>
            <w:tcW w:w="240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40BB7DAE" w14:textId="77777777" w:rsidR="00F467AE" w:rsidRDefault="00000000">
            <w:pPr>
              <w:shd w:val="clear" w:color="auto" w:fill="1E7B34"/>
              <w:spacing w:before="20" w:after="20"/>
              <w:jc w:val="center"/>
            </w:pPr>
            <w:r>
              <w:rPr>
                <w:b/>
                <w:bCs/>
                <w:color w:val="FFFFFF"/>
                <w:sz w:val="15"/>
                <w:szCs w:val="15"/>
              </w:rPr>
              <w:t>Verified</w:t>
            </w:r>
          </w:p>
        </w:tc>
      </w:tr>
      <w:tr w:rsidR="00F467AE" w14:paraId="1177FB20" w14:textId="77777777">
        <w:tc>
          <w:tcPr>
            <w:tcW w:w="250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405228BB" w14:textId="77777777" w:rsidR="00F467AE" w:rsidRDefault="00000000">
            <w:pPr>
              <w:spacing w:line="260" w:lineRule="auto"/>
            </w:pPr>
            <w:r>
              <w:rPr>
                <w:b/>
                <w:bCs/>
                <w:sz w:val="18"/>
                <w:szCs w:val="18"/>
              </w:rPr>
              <w:t>Continuous monitoring</w:t>
            </w:r>
          </w:p>
        </w:tc>
        <w:tc>
          <w:tcPr>
            <w:tcW w:w="5566"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2AF17184" w14:textId="77777777" w:rsidR="00F467AE" w:rsidRDefault="00000000">
            <w:pPr>
              <w:spacing w:line="260" w:lineRule="auto"/>
            </w:pPr>
            <w:r>
              <w:rPr>
                <w:sz w:val="18"/>
                <w:szCs w:val="18"/>
              </w:rPr>
              <w:t>Live dashboard; periodic independent challenge</w:t>
            </w:r>
          </w:p>
        </w:tc>
        <w:tc>
          <w:tcPr>
            <w:tcW w:w="240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0B9C97CB" w14:textId="77777777" w:rsidR="00F467AE" w:rsidRDefault="00000000">
            <w:pPr>
              <w:shd w:val="clear" w:color="auto" w:fill="3A5A78"/>
              <w:spacing w:before="20" w:after="20"/>
              <w:jc w:val="center"/>
            </w:pPr>
            <w:r>
              <w:rPr>
                <w:b/>
                <w:bCs/>
                <w:color w:val="FFFFFF"/>
                <w:sz w:val="15"/>
                <w:szCs w:val="15"/>
              </w:rPr>
              <w:t>Active — live</w:t>
            </w:r>
          </w:p>
        </w:tc>
      </w:tr>
      <w:tr w:rsidR="00F467AE" w14:paraId="341E9EA9" w14:textId="77777777">
        <w:tc>
          <w:tcPr>
            <w:tcW w:w="250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42E9ACD4" w14:textId="77777777" w:rsidR="00F467AE" w:rsidRDefault="00000000">
            <w:pPr>
              <w:spacing w:line="260" w:lineRule="auto"/>
            </w:pPr>
            <w:r>
              <w:rPr>
                <w:b/>
                <w:bCs/>
                <w:sz w:val="18"/>
                <w:szCs w:val="18"/>
              </w:rPr>
              <w:t>Third-party / outsourcing risk</w:t>
            </w:r>
          </w:p>
        </w:tc>
        <w:tc>
          <w:tcPr>
            <w:tcW w:w="5566"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19980F52" w14:textId="77777777" w:rsidR="00F467AE" w:rsidRDefault="00000000">
            <w:pPr>
              <w:spacing w:line="260" w:lineRule="auto"/>
            </w:pPr>
            <w:r>
              <w:rPr>
                <w:sz w:val="18"/>
                <w:szCs w:val="18"/>
              </w:rPr>
              <w:t>Due diligence &amp; audit rights on file; annual review overdue</w:t>
            </w:r>
          </w:p>
        </w:tc>
        <w:tc>
          <w:tcPr>
            <w:tcW w:w="240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79906925" w14:textId="77777777" w:rsidR="00F467AE" w:rsidRDefault="00000000">
            <w:pPr>
              <w:shd w:val="clear" w:color="auto" w:fill="AA0605"/>
              <w:spacing w:before="20" w:after="20"/>
              <w:jc w:val="center"/>
            </w:pPr>
            <w:r>
              <w:rPr>
                <w:b/>
                <w:bCs/>
                <w:color w:val="FFFFFF"/>
                <w:sz w:val="15"/>
                <w:szCs w:val="15"/>
              </w:rPr>
              <w:t>Gap — see below</w:t>
            </w:r>
          </w:p>
        </w:tc>
      </w:tr>
      <w:tr w:rsidR="00F467AE" w14:paraId="3217500D" w14:textId="77777777">
        <w:tc>
          <w:tcPr>
            <w:tcW w:w="250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15B99ABB" w14:textId="77777777" w:rsidR="00F467AE" w:rsidRDefault="00000000">
            <w:pPr>
              <w:spacing w:line="260" w:lineRule="auto"/>
            </w:pPr>
            <w:r>
              <w:rPr>
                <w:b/>
                <w:bCs/>
                <w:sz w:val="18"/>
                <w:szCs w:val="18"/>
              </w:rPr>
              <w:t>Certification (High Risk Processing)</w:t>
            </w:r>
          </w:p>
        </w:tc>
        <w:tc>
          <w:tcPr>
            <w:tcW w:w="5566"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0C71A98A" w14:textId="77777777" w:rsidR="00F467AE" w:rsidRDefault="00000000">
            <w:pPr>
              <w:spacing w:line="260" w:lineRule="auto"/>
            </w:pPr>
            <w:r>
              <w:rPr>
                <w:sz w:val="18"/>
                <w:szCs w:val="18"/>
              </w:rPr>
              <w:t>DIFC-accredited body engagement on file</w:t>
            </w:r>
          </w:p>
        </w:tc>
        <w:tc>
          <w:tcPr>
            <w:tcW w:w="2400" w:type="dxa"/>
            <w:tcBorders>
              <w:top w:val="single" w:sz="4" w:space="0" w:color="D9D9D9"/>
              <w:left w:val="single" w:sz="4" w:space="0" w:color="D9D9D9"/>
              <w:bottom w:val="single" w:sz="4" w:space="0" w:color="D9D9D9"/>
              <w:right w:val="single" w:sz="4" w:space="0" w:color="D9D9D9"/>
            </w:tcBorders>
            <w:shd w:val="clear" w:color="auto" w:fill="FBF3F3"/>
            <w:tcMar>
              <w:top w:w="90" w:type="dxa"/>
              <w:left w:w="110" w:type="dxa"/>
              <w:bottom w:w="90" w:type="dxa"/>
              <w:right w:w="110" w:type="dxa"/>
            </w:tcMar>
          </w:tcPr>
          <w:p w14:paraId="7F81D00C" w14:textId="77777777" w:rsidR="00F467AE" w:rsidRDefault="00000000">
            <w:pPr>
              <w:shd w:val="clear" w:color="auto" w:fill="1E7B34"/>
              <w:spacing w:before="20" w:after="20"/>
              <w:jc w:val="center"/>
            </w:pPr>
            <w:r>
              <w:rPr>
                <w:b/>
                <w:bCs/>
                <w:color w:val="FFFFFF"/>
                <w:sz w:val="15"/>
                <w:szCs w:val="15"/>
              </w:rPr>
              <w:t>Certified</w:t>
            </w:r>
          </w:p>
        </w:tc>
      </w:tr>
      <w:tr w:rsidR="00F467AE" w14:paraId="72B851A3" w14:textId="77777777">
        <w:tc>
          <w:tcPr>
            <w:tcW w:w="250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4366C795" w14:textId="77777777" w:rsidR="00F467AE" w:rsidRDefault="00000000">
            <w:pPr>
              <w:spacing w:line="260" w:lineRule="auto"/>
            </w:pPr>
            <w:r>
              <w:rPr>
                <w:b/>
                <w:bCs/>
                <w:sz w:val="18"/>
                <w:szCs w:val="18"/>
              </w:rPr>
              <w:t>Cessation / auto-revocation capability</w:t>
            </w:r>
          </w:p>
        </w:tc>
        <w:tc>
          <w:tcPr>
            <w:tcW w:w="5566"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59037632" w14:textId="77777777" w:rsidR="00F467AE" w:rsidRDefault="00000000">
            <w:pPr>
              <w:spacing w:line="260" w:lineRule="auto"/>
            </w:pPr>
            <w:r>
              <w:rPr>
                <w:sz w:val="18"/>
                <w:szCs w:val="18"/>
              </w:rPr>
              <w:t>Human-triggered removal from release path — tested 19 Jul 2026</w:t>
            </w:r>
          </w:p>
        </w:tc>
        <w:tc>
          <w:tcPr>
            <w:tcW w:w="240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74DA388C" w14:textId="77777777" w:rsidR="00F467AE" w:rsidRDefault="00000000">
            <w:pPr>
              <w:shd w:val="clear" w:color="auto" w:fill="3A5A78"/>
              <w:spacing w:before="20" w:after="20"/>
              <w:jc w:val="center"/>
            </w:pPr>
            <w:r>
              <w:rPr>
                <w:b/>
                <w:bCs/>
                <w:color w:val="FFFFFF"/>
                <w:sz w:val="15"/>
                <w:szCs w:val="15"/>
              </w:rPr>
              <w:t>Armed &amp; tested</w:t>
            </w:r>
          </w:p>
        </w:tc>
      </w:tr>
    </w:tbl>
    <w:p w14:paraId="2420C0F2" w14:textId="77777777" w:rsidR="00F467AE" w:rsidRDefault="00000000">
      <w:r>
        <w:br w:type="page"/>
      </w:r>
    </w:p>
    <w:p w14:paraId="1796B897" w14:textId="77777777" w:rsidR="00F467AE" w:rsidRDefault="00000000">
      <w:pPr>
        <w:spacing w:after="60"/>
      </w:pPr>
      <w:r>
        <w:rPr>
          <w:b/>
          <w:bCs/>
          <w:color w:val="AA0605"/>
          <w:spacing w:val="20"/>
          <w:sz w:val="16"/>
          <w:szCs w:val="16"/>
        </w:rPr>
        <w:lastRenderedPageBreak/>
        <w:t>REMEDIATION</w:t>
      </w:r>
    </w:p>
    <w:p w14:paraId="0C3446EF" w14:textId="77777777" w:rsidR="00F467AE" w:rsidRDefault="00000000">
      <w:pPr>
        <w:pStyle w:val="Heading1"/>
        <w:pBdr>
          <w:bottom w:val="single" w:sz="6" w:space="6" w:color="AA0605"/>
        </w:pBdr>
        <w:spacing w:before="240" w:after="160"/>
      </w:pPr>
      <w:r>
        <w:rPr>
          <w:b/>
          <w:bCs/>
          <w:color w:val="1F1F1F"/>
          <w:sz w:val="30"/>
          <w:szCs w:val="30"/>
        </w:rPr>
        <w:t>High-level remediation plan</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00"/>
        <w:gridCol w:w="2200"/>
        <w:gridCol w:w="4766"/>
        <w:gridCol w:w="1400"/>
      </w:tblGrid>
      <w:tr w:rsidR="00F467AE" w14:paraId="16CC337C" w14:textId="77777777">
        <w:trPr>
          <w:tblHeader/>
        </w:trPr>
        <w:tc>
          <w:tcPr>
            <w:tcW w:w="2100" w:type="dxa"/>
            <w:tcBorders>
              <w:top w:val="single" w:sz="4" w:space="0" w:color="D9D9D9"/>
              <w:left w:val="single" w:sz="4" w:space="0" w:color="D9D9D9"/>
              <w:bottom w:val="single" w:sz="4" w:space="0" w:color="D9D9D9"/>
              <w:right w:val="single" w:sz="4" w:space="0" w:color="D9D9D9"/>
            </w:tcBorders>
            <w:shd w:val="clear" w:color="auto" w:fill="AA0605"/>
            <w:tcMar>
              <w:top w:w="80" w:type="dxa"/>
              <w:left w:w="110" w:type="dxa"/>
              <w:bottom w:w="80" w:type="dxa"/>
              <w:right w:w="110" w:type="dxa"/>
            </w:tcMar>
            <w:vAlign w:val="center"/>
          </w:tcPr>
          <w:p w14:paraId="4C91FCA4" w14:textId="77777777" w:rsidR="00F467AE" w:rsidRDefault="00000000">
            <w:r>
              <w:rPr>
                <w:b/>
                <w:bCs/>
                <w:color w:val="FFFFFF"/>
                <w:sz w:val="18"/>
                <w:szCs w:val="18"/>
              </w:rPr>
              <w:t>Finding</w:t>
            </w:r>
          </w:p>
        </w:tc>
        <w:tc>
          <w:tcPr>
            <w:tcW w:w="2200" w:type="dxa"/>
            <w:tcBorders>
              <w:top w:val="single" w:sz="4" w:space="0" w:color="D9D9D9"/>
              <w:left w:val="single" w:sz="4" w:space="0" w:color="D9D9D9"/>
              <w:bottom w:val="single" w:sz="4" w:space="0" w:color="D9D9D9"/>
              <w:right w:val="single" w:sz="4" w:space="0" w:color="D9D9D9"/>
            </w:tcBorders>
            <w:shd w:val="clear" w:color="auto" w:fill="AA0605"/>
            <w:tcMar>
              <w:top w:w="80" w:type="dxa"/>
              <w:left w:w="110" w:type="dxa"/>
              <w:bottom w:w="80" w:type="dxa"/>
              <w:right w:w="110" w:type="dxa"/>
            </w:tcMar>
            <w:vAlign w:val="center"/>
          </w:tcPr>
          <w:p w14:paraId="1795F3CD" w14:textId="77777777" w:rsidR="00F467AE" w:rsidRDefault="00000000">
            <w:r>
              <w:rPr>
                <w:b/>
                <w:bCs/>
                <w:color w:val="FFFFFF"/>
                <w:sz w:val="18"/>
                <w:szCs w:val="18"/>
              </w:rPr>
              <w:t>Owner</w:t>
            </w:r>
          </w:p>
        </w:tc>
        <w:tc>
          <w:tcPr>
            <w:tcW w:w="4766" w:type="dxa"/>
            <w:tcBorders>
              <w:top w:val="single" w:sz="4" w:space="0" w:color="D9D9D9"/>
              <w:left w:val="single" w:sz="4" w:space="0" w:color="D9D9D9"/>
              <w:bottom w:val="single" w:sz="4" w:space="0" w:color="D9D9D9"/>
              <w:right w:val="single" w:sz="4" w:space="0" w:color="D9D9D9"/>
            </w:tcBorders>
            <w:shd w:val="clear" w:color="auto" w:fill="AA0605"/>
            <w:tcMar>
              <w:top w:w="80" w:type="dxa"/>
              <w:left w:w="110" w:type="dxa"/>
              <w:bottom w:w="80" w:type="dxa"/>
              <w:right w:w="110" w:type="dxa"/>
            </w:tcMar>
            <w:vAlign w:val="center"/>
          </w:tcPr>
          <w:p w14:paraId="6EB6B93D" w14:textId="77777777" w:rsidR="00F467AE" w:rsidRDefault="00000000">
            <w:r>
              <w:rPr>
                <w:b/>
                <w:bCs/>
                <w:color w:val="FFFFFF"/>
                <w:sz w:val="18"/>
                <w:szCs w:val="18"/>
              </w:rPr>
              <w:t>Action</w:t>
            </w:r>
          </w:p>
        </w:tc>
        <w:tc>
          <w:tcPr>
            <w:tcW w:w="1400" w:type="dxa"/>
            <w:tcBorders>
              <w:top w:val="single" w:sz="4" w:space="0" w:color="D9D9D9"/>
              <w:left w:val="single" w:sz="4" w:space="0" w:color="D9D9D9"/>
              <w:bottom w:val="single" w:sz="4" w:space="0" w:color="D9D9D9"/>
              <w:right w:val="single" w:sz="4" w:space="0" w:color="D9D9D9"/>
            </w:tcBorders>
            <w:shd w:val="clear" w:color="auto" w:fill="AA0605"/>
            <w:tcMar>
              <w:top w:w="80" w:type="dxa"/>
              <w:left w:w="110" w:type="dxa"/>
              <w:bottom w:w="80" w:type="dxa"/>
              <w:right w:w="110" w:type="dxa"/>
            </w:tcMar>
            <w:vAlign w:val="center"/>
          </w:tcPr>
          <w:p w14:paraId="72ED5B15" w14:textId="77777777" w:rsidR="00F467AE" w:rsidRDefault="00000000">
            <w:r>
              <w:rPr>
                <w:b/>
                <w:bCs/>
                <w:color w:val="FFFFFF"/>
                <w:sz w:val="18"/>
                <w:szCs w:val="18"/>
              </w:rPr>
              <w:t>Deadline</w:t>
            </w:r>
          </w:p>
        </w:tc>
      </w:tr>
      <w:tr w:rsidR="00F467AE" w14:paraId="5C6B6D3F" w14:textId="77777777">
        <w:tc>
          <w:tcPr>
            <w:tcW w:w="210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32DFE374" w14:textId="77777777" w:rsidR="00F467AE" w:rsidRDefault="00000000">
            <w:pPr>
              <w:spacing w:line="260" w:lineRule="auto"/>
            </w:pPr>
            <w:r>
              <w:rPr>
                <w:b/>
                <w:bCs/>
                <w:sz w:val="18"/>
                <w:szCs w:val="18"/>
              </w:rPr>
              <w:t>CBUAE Section 9 — Outsourcing &amp; Third-Party Risk</w:t>
            </w:r>
          </w:p>
        </w:tc>
        <w:tc>
          <w:tcPr>
            <w:tcW w:w="220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5225B6F3" w14:textId="77777777" w:rsidR="00F467AE" w:rsidRDefault="00000000">
            <w:pPr>
              <w:spacing w:line="260" w:lineRule="auto"/>
            </w:pPr>
            <w:r>
              <w:rPr>
                <w:sz w:val="18"/>
                <w:szCs w:val="18"/>
              </w:rPr>
              <w:t>Bank's outsourcing risk function, supported by BASTYN re-test</w:t>
            </w:r>
          </w:p>
        </w:tc>
        <w:tc>
          <w:tcPr>
            <w:tcW w:w="4766"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0BE87201" w14:textId="77777777" w:rsidR="00F467AE" w:rsidRDefault="00000000">
            <w:pPr>
              <w:spacing w:line="260" w:lineRule="auto"/>
            </w:pPr>
            <w:r>
              <w:rPr>
                <w:sz w:val="18"/>
                <w:szCs w:val="18"/>
              </w:rPr>
              <w:t>Commission a refreshed independent cybersecurity review of the third-party base-model provider; file the updated review and remediation confirmation; BASTYN re-runs the Outsourcing &amp; Third-Party Risk vector to close the finding.</w:t>
            </w:r>
          </w:p>
        </w:tc>
        <w:tc>
          <w:tcPr>
            <w:tcW w:w="1400" w:type="dxa"/>
            <w:tcBorders>
              <w:top w:val="single" w:sz="4" w:space="0" w:color="D9D9D9"/>
              <w:left w:val="single" w:sz="4" w:space="0" w:color="D9D9D9"/>
              <w:bottom w:val="single" w:sz="4" w:space="0" w:color="D9D9D9"/>
              <w:right w:val="single" w:sz="4" w:space="0" w:color="D9D9D9"/>
            </w:tcBorders>
            <w:shd w:val="clear" w:color="auto" w:fill="FFFFFF"/>
            <w:tcMar>
              <w:top w:w="90" w:type="dxa"/>
              <w:left w:w="110" w:type="dxa"/>
              <w:bottom w:w="90" w:type="dxa"/>
              <w:right w:w="110" w:type="dxa"/>
            </w:tcMar>
          </w:tcPr>
          <w:p w14:paraId="6F6A4F27" w14:textId="77777777" w:rsidR="00F467AE" w:rsidRDefault="00000000">
            <w:pPr>
              <w:spacing w:line="260" w:lineRule="auto"/>
            </w:pPr>
            <w:r>
              <w:rPr>
                <w:sz w:val="18"/>
                <w:szCs w:val="18"/>
              </w:rPr>
              <w:t>27 August 2026 (30 days)</w:t>
            </w:r>
          </w:p>
        </w:tc>
      </w:tr>
    </w:tbl>
    <w:p w14:paraId="204B0140" w14:textId="77777777" w:rsidR="00F467AE" w:rsidRDefault="00F467AE">
      <w:pPr>
        <w:spacing w:after="160"/>
      </w:pPr>
    </w:p>
    <w:p w14:paraId="787BB549" w14:textId="77777777" w:rsidR="00F467AE" w:rsidRDefault="00000000">
      <w:pPr>
        <w:spacing w:after="120" w:line="300" w:lineRule="auto"/>
      </w:pPr>
      <w:r>
        <w:rPr>
          <w:i/>
          <w:iCs/>
          <w:color w:val="4A4A4A"/>
        </w:rPr>
        <w:t>This attestation does not require remediation to remain valid at Silver; the finding blocks progression to Gold only. Full findings, section-by-section, are set out in the BASTYN Conformity Assessment Pack.</w:t>
      </w:r>
    </w:p>
    <w:p w14:paraId="3CE6A4D6" w14:textId="77777777" w:rsidR="00F467AE" w:rsidRDefault="00F467AE">
      <w:pPr>
        <w:spacing w:after="280"/>
      </w:pPr>
    </w:p>
    <w:p w14:paraId="774E6E32" w14:textId="77777777" w:rsidR="00F467AE" w:rsidRDefault="00F467AE">
      <w:pPr>
        <w:pBdr>
          <w:top w:val="single" w:sz="4" w:space="8" w:color="D9D9D9"/>
        </w:pBdr>
        <w:spacing w:before="200"/>
      </w:pPr>
    </w:p>
    <w:p w14:paraId="16E666CF" w14:textId="77777777" w:rsidR="00F467AE" w:rsidRDefault="00000000">
      <w:pPr>
        <w:spacing w:after="60"/>
      </w:pPr>
      <w:r>
        <w:rPr>
          <w:b/>
          <w:bCs/>
          <w:color w:val="4A4A4A"/>
          <w:sz w:val="19"/>
          <w:szCs w:val="19"/>
        </w:rPr>
        <w:t xml:space="preserve">Issued by:  </w:t>
      </w:r>
      <w:r>
        <w:rPr>
          <w:sz w:val="19"/>
          <w:szCs w:val="19"/>
        </w:rPr>
        <w:t>BASTYN — independent behavioural certification</w:t>
      </w:r>
    </w:p>
    <w:p w14:paraId="2002C33B" w14:textId="77777777" w:rsidR="00F467AE" w:rsidRDefault="00000000">
      <w:pPr>
        <w:spacing w:after="60"/>
      </w:pPr>
      <w:r>
        <w:rPr>
          <w:b/>
          <w:bCs/>
          <w:color w:val="4A4A4A"/>
          <w:sz w:val="19"/>
          <w:szCs w:val="19"/>
        </w:rPr>
        <w:t xml:space="preserve">Certificate reference:  </w:t>
      </w:r>
      <w:r>
        <w:rPr>
          <w:sz w:val="19"/>
          <w:szCs w:val="19"/>
        </w:rPr>
        <w:t>BASTYN-DIFC-CBUAE-2026-0417</w:t>
      </w:r>
    </w:p>
    <w:p w14:paraId="25087278" w14:textId="77777777" w:rsidR="00F467AE" w:rsidRDefault="00000000">
      <w:pPr>
        <w:spacing w:after="60"/>
      </w:pPr>
      <w:r>
        <w:rPr>
          <w:b/>
          <w:bCs/>
          <w:color w:val="4A4A4A"/>
          <w:sz w:val="19"/>
          <w:szCs w:val="19"/>
        </w:rPr>
        <w:t xml:space="preserve">Next scheduled review:  </w:t>
      </w:r>
      <w:r>
        <w:rPr>
          <w:sz w:val="19"/>
          <w:szCs w:val="19"/>
        </w:rPr>
        <w:t>27 October 2026</w:t>
      </w:r>
    </w:p>
    <w:p w14:paraId="501C3CBC" w14:textId="77777777" w:rsidR="00F467AE" w:rsidRDefault="00F467AE">
      <w:pPr>
        <w:spacing w:after="160"/>
      </w:pPr>
    </w:p>
    <w:p w14:paraId="6652DBA6" w14:textId="77777777" w:rsidR="00F467AE" w:rsidRDefault="00000000">
      <w:pPr>
        <w:spacing w:after="120" w:line="300" w:lineRule="auto"/>
      </w:pPr>
      <w:r>
        <w:rPr>
          <w:i/>
          <w:iCs/>
          <w:color w:val="4A4A4A"/>
          <w:sz w:val="17"/>
          <w:szCs w:val="17"/>
        </w:rPr>
        <w:t>This is a sample document produced to illustrate BASTYN's Trust Attestation Report format, including its certificate page. It contains no real customer, employee or transaction data, and does not constitute an actual regulatory filing, certification, or legal opinion.</w:t>
      </w:r>
    </w:p>
    <w:sectPr w:rsidR="00F467AE">
      <w:headerReference w:type="default" r:id="rId9"/>
      <w:footerReference w:type="default" r:id="rId10"/>
      <w:pgSz w:w="11906" w:h="16838"/>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73915D5" w14:textId="77777777" w:rsidR="008778AA" w:rsidRDefault="008778AA">
      <w:r>
        <w:separator/>
      </w:r>
    </w:p>
  </w:endnote>
  <w:endnote w:type="continuationSeparator" w:id="0">
    <w:p w14:paraId="6A736951" w14:textId="77777777" w:rsidR="008778AA" w:rsidRDefault="00877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Inter">
    <w:altName w:val="Cambria"/>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5A88E3" w14:textId="77777777" w:rsidR="00F467AE" w:rsidRDefault="00000000">
    <w:pPr>
      <w:pBdr>
        <w:top w:val="single" w:sz="4" w:space="4" w:color="D9D9D9"/>
      </w:pBdr>
      <w:tabs>
        <w:tab w:val="right" w:pos="10466"/>
      </w:tabs>
    </w:pPr>
    <w:r>
      <w:rPr>
        <w:color w:val="4A4A4A"/>
        <w:sz w:val="14"/>
        <w:szCs w:val="14"/>
      </w:rPr>
      <w:t xml:space="preserve">Trust Attestation — </w:t>
    </w:r>
    <w:proofErr w:type="spellStart"/>
    <w:r>
      <w:rPr>
        <w:color w:val="4A4A4A"/>
        <w:sz w:val="14"/>
        <w:szCs w:val="14"/>
      </w:rPr>
      <w:t>wps</w:t>
    </w:r>
    <w:proofErr w:type="spellEnd"/>
    <w:r>
      <w:rPr>
        <w:color w:val="4A4A4A"/>
        <w:sz w:val="14"/>
        <w:szCs w:val="14"/>
      </w:rPr>
      <w:t>-salary-anomaly-agent (illustrative sample)</w:t>
    </w:r>
    <w:r>
      <w:rPr>
        <w:sz w:val="14"/>
        <w:szCs w:val="14"/>
      </w:rPr>
      <w:tab/>
    </w:r>
    <w:r>
      <w:rPr>
        <w:color w:val="4A4A4A"/>
        <w:sz w:val="14"/>
        <w:szCs w:val="14"/>
      </w:rPr>
      <w:t xml:space="preserve">BASTYN — Page </w:t>
    </w:r>
    <w:r>
      <w:rPr>
        <w:color w:val="4A4A4A"/>
        <w:sz w:val="14"/>
        <w:szCs w:val="14"/>
      </w:rPr>
      <w:fldChar w:fldCharType="begin"/>
    </w:r>
    <w:r>
      <w:rPr>
        <w:color w:val="4A4A4A"/>
        <w:sz w:val="14"/>
        <w:szCs w:val="14"/>
      </w:rPr>
      <w:instrText>PAGE</w:instrText>
    </w:r>
    <w:r>
      <w:rPr>
        <w:color w:val="4A4A4A"/>
        <w:sz w:val="14"/>
        <w:szCs w:val="14"/>
      </w:rPr>
      <w:fldChar w:fldCharType="separate"/>
    </w:r>
    <w:r w:rsidR="003A61A1">
      <w:rPr>
        <w:noProof/>
        <w:color w:val="4A4A4A"/>
        <w:sz w:val="14"/>
        <w:szCs w:val="14"/>
      </w:rPr>
      <w:t>2</w:t>
    </w:r>
    <w:r>
      <w:rPr>
        <w:color w:val="4A4A4A"/>
        <w:sz w:val="14"/>
        <w:szCs w:val="14"/>
      </w:rPr>
      <w:fldChar w:fldCharType="end"/>
    </w:r>
    <w:r>
      <w:rPr>
        <w:color w:val="4A4A4A"/>
        <w:sz w:val="14"/>
        <w:szCs w:val="14"/>
      </w:rPr>
      <w:t xml:space="preserve"> of </w:t>
    </w:r>
    <w:r>
      <w:rPr>
        <w:color w:val="4A4A4A"/>
        <w:sz w:val="14"/>
        <w:szCs w:val="14"/>
      </w:rPr>
      <w:fldChar w:fldCharType="begin"/>
    </w:r>
    <w:r>
      <w:rPr>
        <w:color w:val="4A4A4A"/>
        <w:sz w:val="14"/>
        <w:szCs w:val="14"/>
      </w:rPr>
      <w:instrText>NUMPAGES</w:instrText>
    </w:r>
    <w:r>
      <w:rPr>
        <w:color w:val="4A4A4A"/>
        <w:sz w:val="14"/>
        <w:szCs w:val="14"/>
      </w:rPr>
      <w:fldChar w:fldCharType="separate"/>
    </w:r>
    <w:r w:rsidR="003A61A1">
      <w:rPr>
        <w:noProof/>
        <w:color w:val="4A4A4A"/>
        <w:sz w:val="14"/>
        <w:szCs w:val="14"/>
      </w:rPr>
      <w:t>3</w:t>
    </w:r>
    <w:r>
      <w:rPr>
        <w:color w:val="4A4A4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8CAD75" w14:textId="77777777" w:rsidR="008778AA" w:rsidRDefault="008778AA">
      <w:r>
        <w:separator/>
      </w:r>
    </w:p>
  </w:footnote>
  <w:footnote w:type="continuationSeparator" w:id="0">
    <w:p w14:paraId="6BD3A584" w14:textId="77777777" w:rsidR="008778AA" w:rsidRDefault="00877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043D86" w14:textId="77777777" w:rsidR="00F467AE" w:rsidRDefault="00000000">
    <w:pPr>
      <w:pBdr>
        <w:bottom w:val="single" w:sz="4" w:space="6" w:color="D9D9D9"/>
      </w:pBdr>
    </w:pPr>
    <w:r>
      <w:rPr>
        <w:noProof/>
      </w:rPr>
      <w:drawing>
        <wp:inline distT="0" distB="0" distL="0" distR="0" wp14:anchorId="4EFCCCF0" wp14:editId="534EFE09">
          <wp:extent cx="857250" cy="257175"/>
          <wp:effectExtent l="0" t="0" r="0" b="0"/>
          <wp:docPr id="1342010315" name="Picture 1342010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857250" cy="2571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F6577CA"/>
    <w:multiLevelType w:val="hybridMultilevel"/>
    <w:tmpl w:val="BC0A6C72"/>
    <w:lvl w:ilvl="0" w:tplc="D5D87A58">
      <w:start w:val="1"/>
      <w:numFmt w:val="bullet"/>
      <w:lvlText w:val="●"/>
      <w:lvlJc w:val="left"/>
      <w:pPr>
        <w:ind w:left="720" w:hanging="360"/>
      </w:pPr>
    </w:lvl>
    <w:lvl w:ilvl="1" w:tplc="EB9E9BBA">
      <w:start w:val="1"/>
      <w:numFmt w:val="bullet"/>
      <w:lvlText w:val="○"/>
      <w:lvlJc w:val="left"/>
      <w:pPr>
        <w:ind w:left="1440" w:hanging="360"/>
      </w:pPr>
    </w:lvl>
    <w:lvl w:ilvl="2" w:tplc="B080C308">
      <w:start w:val="1"/>
      <w:numFmt w:val="bullet"/>
      <w:lvlText w:val="■"/>
      <w:lvlJc w:val="left"/>
      <w:pPr>
        <w:ind w:left="2160" w:hanging="360"/>
      </w:pPr>
    </w:lvl>
    <w:lvl w:ilvl="3" w:tplc="829AD448">
      <w:start w:val="1"/>
      <w:numFmt w:val="bullet"/>
      <w:lvlText w:val="●"/>
      <w:lvlJc w:val="left"/>
      <w:pPr>
        <w:ind w:left="2880" w:hanging="360"/>
      </w:pPr>
    </w:lvl>
    <w:lvl w:ilvl="4" w:tplc="717C1632">
      <w:start w:val="1"/>
      <w:numFmt w:val="bullet"/>
      <w:lvlText w:val="○"/>
      <w:lvlJc w:val="left"/>
      <w:pPr>
        <w:ind w:left="3600" w:hanging="360"/>
      </w:pPr>
    </w:lvl>
    <w:lvl w:ilvl="5" w:tplc="F1AABFCA">
      <w:start w:val="1"/>
      <w:numFmt w:val="bullet"/>
      <w:lvlText w:val="■"/>
      <w:lvlJc w:val="left"/>
      <w:pPr>
        <w:ind w:left="4320" w:hanging="360"/>
      </w:pPr>
    </w:lvl>
    <w:lvl w:ilvl="6" w:tplc="62165B24">
      <w:start w:val="1"/>
      <w:numFmt w:val="bullet"/>
      <w:lvlText w:val="●"/>
      <w:lvlJc w:val="left"/>
      <w:pPr>
        <w:ind w:left="5040" w:hanging="360"/>
      </w:pPr>
    </w:lvl>
    <w:lvl w:ilvl="7" w:tplc="FAFC5C7A">
      <w:start w:val="1"/>
      <w:numFmt w:val="bullet"/>
      <w:lvlText w:val="●"/>
      <w:lvlJc w:val="left"/>
      <w:pPr>
        <w:ind w:left="5760" w:hanging="360"/>
      </w:pPr>
    </w:lvl>
    <w:lvl w:ilvl="8" w:tplc="07FC8A24">
      <w:start w:val="1"/>
      <w:numFmt w:val="bullet"/>
      <w:lvlText w:val="●"/>
      <w:lvlJc w:val="left"/>
      <w:pPr>
        <w:ind w:left="6480" w:hanging="360"/>
      </w:pPr>
    </w:lvl>
  </w:abstractNum>
  <w:num w:numId="1" w16cid:durableId="17295693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7AE"/>
    <w:rsid w:val="003A61A1"/>
    <w:rsid w:val="005F21C8"/>
    <w:rsid w:val="008778AA"/>
    <w:rsid w:val="00E248AE"/>
    <w:rsid w:val="00F40551"/>
    <w:rsid w:val="00F467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773B78D"/>
  <w15:docId w15:val="{E271A2A4-4D35-5540-A875-F035A1BB3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Inter" w:eastAsia="Inter" w:hAnsi="Inter" w:cs="Inter"/>
        <w:color w:val="1F1F1F"/>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908</Words>
  <Characters>5179</Characters>
  <Application>Microsoft Office Word</Application>
  <DocSecurity>0</DocSecurity>
  <Lines>43</Lines>
  <Paragraphs>12</Paragraphs>
  <ScaleCrop>false</ScaleCrop>
  <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BASTYN</dc:creator>
  <cp:lastModifiedBy>BASTYN</cp:lastModifiedBy>
  <cp:revision>3</cp:revision>
  <dcterms:created xsi:type="dcterms:W3CDTF">2026-08-04T07:22:00Z</dcterms:created>
  <dcterms:modified xsi:type="dcterms:W3CDTF">2026-08-04T07:36:00Z</dcterms:modified>
</cp:coreProperties>
</file>