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B7014B" w14:textId="77777777" w:rsidR="0089136F" w:rsidRDefault="00000000">
      <w:pPr>
        <w:spacing w:before="200" w:after="100"/>
      </w:pPr>
      <w:r>
        <w:rPr>
          <w:noProof/>
        </w:rPr>
        <w:drawing>
          <wp:inline distT="0" distB="0" distL="0" distR="0" wp14:anchorId="784231D1" wp14:editId="1E7E1C5C">
            <wp:extent cx="209550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0" cy="638175"/>
                    </a:xfrm>
                    <a:prstGeom prst="rect">
                      <a:avLst/>
                    </a:prstGeom>
                  </pic:spPr>
                </pic:pic>
              </a:graphicData>
            </a:graphic>
          </wp:inline>
        </w:drawing>
      </w:r>
    </w:p>
    <w:p w14:paraId="55B963D3" w14:textId="77777777" w:rsidR="0089136F" w:rsidRDefault="00000000">
      <w:pPr>
        <w:pBdr>
          <w:top w:val="single" w:sz="8" w:space="10" w:color="AA0605"/>
        </w:pBdr>
        <w:spacing w:before="260" w:after="60"/>
      </w:pPr>
      <w:r>
        <w:rPr>
          <w:b/>
          <w:bCs/>
          <w:sz w:val="38"/>
          <w:szCs w:val="38"/>
        </w:rPr>
        <w:t>CONFORMITY ASSESSMENT PACK</w:t>
      </w:r>
    </w:p>
    <w:p w14:paraId="4437893B" w14:textId="77777777" w:rsidR="0089136F" w:rsidRDefault="00000000">
      <w:pPr>
        <w:spacing w:after="300"/>
      </w:pPr>
      <w:r>
        <w:rPr>
          <w:color w:val="4A4A4A"/>
          <w:sz w:val="22"/>
          <w:szCs w:val="22"/>
        </w:rPr>
        <w:t>Universal conformity file, mapped to DIFC Regulation 10 &amp; the CBUAE AI/ML Guidance Note</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7566"/>
      </w:tblGrid>
      <w:tr w:rsidR="0089136F" w14:paraId="2B3FABA9" w14:textId="77777777">
        <w:tc>
          <w:tcPr>
            <w:tcW w:w="29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21986A10" w14:textId="77777777" w:rsidR="0089136F" w:rsidRDefault="00000000">
            <w:pPr>
              <w:spacing w:line="260" w:lineRule="auto"/>
            </w:pPr>
            <w:r>
              <w:rPr>
                <w:b/>
                <w:bCs/>
                <w:color w:val="4A4A4A"/>
                <w:sz w:val="18"/>
                <w:szCs w:val="18"/>
              </w:rPr>
              <w:t>System</w:t>
            </w:r>
          </w:p>
        </w:tc>
        <w:tc>
          <w:tcPr>
            <w:tcW w:w="7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F29A22E" w14:textId="77777777" w:rsidR="0089136F" w:rsidRDefault="00000000">
            <w:pPr>
              <w:spacing w:line="260" w:lineRule="auto"/>
            </w:pPr>
            <w:proofErr w:type="spellStart"/>
            <w:r>
              <w:rPr>
                <w:sz w:val="18"/>
                <w:szCs w:val="18"/>
              </w:rPr>
              <w:t>wps</w:t>
            </w:r>
            <w:proofErr w:type="spellEnd"/>
            <w:r>
              <w:rPr>
                <w:sz w:val="18"/>
                <w:szCs w:val="18"/>
              </w:rPr>
              <w:t>-salary-anomaly-</w:t>
            </w:r>
            <w:proofErr w:type="gramStart"/>
            <w:r>
              <w:rPr>
                <w:sz w:val="18"/>
                <w:szCs w:val="18"/>
              </w:rPr>
              <w:t>agent  v</w:t>
            </w:r>
            <w:proofErr w:type="gramEnd"/>
            <w:r>
              <w:rPr>
                <w:sz w:val="18"/>
                <w:szCs w:val="18"/>
              </w:rPr>
              <w:t>2.3</w:t>
            </w:r>
          </w:p>
        </w:tc>
      </w:tr>
      <w:tr w:rsidR="0089136F" w14:paraId="7ED4420E" w14:textId="77777777">
        <w:tc>
          <w:tcPr>
            <w:tcW w:w="29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4A929EB" w14:textId="77777777" w:rsidR="0089136F" w:rsidRDefault="00000000">
            <w:pPr>
              <w:spacing w:line="260" w:lineRule="auto"/>
            </w:pPr>
            <w:r>
              <w:rPr>
                <w:b/>
                <w:bCs/>
                <w:color w:val="4A4A4A"/>
                <w:sz w:val="18"/>
                <w:szCs w:val="18"/>
              </w:rPr>
              <w:t>Repository / reference</w:t>
            </w:r>
          </w:p>
        </w:tc>
        <w:tc>
          <w:tcPr>
            <w:tcW w:w="756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28B9E6B4" w14:textId="75D5EB07" w:rsidR="0089136F" w:rsidRDefault="00000000">
            <w:pPr>
              <w:spacing w:line="260" w:lineRule="auto"/>
            </w:pPr>
            <w:proofErr w:type="spellStart"/>
            <w:r>
              <w:rPr>
                <w:sz w:val="18"/>
                <w:szCs w:val="18"/>
              </w:rPr>
              <w:t>wps</w:t>
            </w:r>
            <w:proofErr w:type="spellEnd"/>
            <w:r>
              <w:rPr>
                <w:sz w:val="18"/>
                <w:szCs w:val="18"/>
              </w:rPr>
              <w:t>-salary-anomaly-agent</w:t>
            </w:r>
          </w:p>
        </w:tc>
      </w:tr>
      <w:tr w:rsidR="0089136F" w14:paraId="47E7E567" w14:textId="77777777">
        <w:tc>
          <w:tcPr>
            <w:tcW w:w="29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2FF71BE8" w14:textId="77777777" w:rsidR="0089136F" w:rsidRDefault="00000000">
            <w:pPr>
              <w:spacing w:line="260" w:lineRule="auto"/>
            </w:pPr>
            <w:r>
              <w:rPr>
                <w:b/>
                <w:bCs/>
                <w:color w:val="4A4A4A"/>
                <w:sz w:val="18"/>
                <w:szCs w:val="18"/>
              </w:rPr>
              <w:t>Operating entity</w:t>
            </w:r>
          </w:p>
        </w:tc>
        <w:tc>
          <w:tcPr>
            <w:tcW w:w="7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5F660AF" w14:textId="4A03375F" w:rsidR="0089136F" w:rsidRDefault="00000000">
            <w:pPr>
              <w:spacing w:line="260" w:lineRule="auto"/>
            </w:pPr>
            <w:r>
              <w:rPr>
                <w:sz w:val="18"/>
                <w:szCs w:val="18"/>
              </w:rPr>
              <w:t>MENA Bank Ltd (illustrative) — DIFC-incorporated, DFSA Category 1 licence; onshore branch operations under CBUAE</w:t>
            </w:r>
          </w:p>
        </w:tc>
      </w:tr>
      <w:tr w:rsidR="0089136F" w14:paraId="237F36C1" w14:textId="77777777">
        <w:tc>
          <w:tcPr>
            <w:tcW w:w="29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2658735E" w14:textId="77777777" w:rsidR="0089136F" w:rsidRDefault="00000000">
            <w:pPr>
              <w:spacing w:line="260" w:lineRule="auto"/>
            </w:pPr>
            <w:r>
              <w:rPr>
                <w:b/>
                <w:bCs/>
                <w:color w:val="4A4A4A"/>
                <w:sz w:val="18"/>
                <w:szCs w:val="18"/>
              </w:rPr>
              <w:t>Assessment scope</w:t>
            </w:r>
          </w:p>
        </w:tc>
        <w:tc>
          <w:tcPr>
            <w:tcW w:w="756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2A4E938C" w14:textId="77777777" w:rsidR="0089136F" w:rsidRDefault="00000000">
            <w:pPr>
              <w:spacing w:line="260" w:lineRule="auto"/>
            </w:pPr>
            <w:r>
              <w:rPr>
                <w:sz w:val="18"/>
                <w:szCs w:val="18"/>
              </w:rPr>
              <w:t>DIFC Regulation 10 (Data Protection Regulations); CBUAE AI/ML Guidance Note (Feb 2026), Sections 1–10</w:t>
            </w:r>
          </w:p>
        </w:tc>
      </w:tr>
      <w:tr w:rsidR="0089136F" w14:paraId="2D2990B7" w14:textId="77777777">
        <w:tc>
          <w:tcPr>
            <w:tcW w:w="29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2645C3C" w14:textId="77777777" w:rsidR="0089136F" w:rsidRDefault="00000000">
            <w:pPr>
              <w:spacing w:line="260" w:lineRule="auto"/>
            </w:pPr>
            <w:r>
              <w:rPr>
                <w:b/>
                <w:bCs/>
                <w:color w:val="4A4A4A"/>
                <w:sz w:val="18"/>
                <w:szCs w:val="18"/>
              </w:rPr>
              <w:t>Assessment date</w:t>
            </w:r>
          </w:p>
        </w:tc>
        <w:tc>
          <w:tcPr>
            <w:tcW w:w="7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F3346A2" w14:textId="77777777" w:rsidR="0089136F" w:rsidRDefault="00000000">
            <w:pPr>
              <w:spacing w:line="260" w:lineRule="auto"/>
            </w:pPr>
            <w:r>
              <w:rPr>
                <w:sz w:val="18"/>
                <w:szCs w:val="18"/>
              </w:rPr>
              <w:t>28 July 2026</w:t>
            </w:r>
          </w:p>
        </w:tc>
      </w:tr>
      <w:tr w:rsidR="0089136F" w14:paraId="7066C287" w14:textId="77777777">
        <w:tc>
          <w:tcPr>
            <w:tcW w:w="29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2EA18A7B" w14:textId="77777777" w:rsidR="0089136F" w:rsidRDefault="00000000">
            <w:pPr>
              <w:spacing w:line="260" w:lineRule="auto"/>
            </w:pPr>
            <w:r>
              <w:rPr>
                <w:b/>
                <w:bCs/>
                <w:color w:val="4A4A4A"/>
                <w:sz w:val="18"/>
                <w:szCs w:val="18"/>
              </w:rPr>
              <w:t>Attestation reference</w:t>
            </w:r>
          </w:p>
        </w:tc>
        <w:tc>
          <w:tcPr>
            <w:tcW w:w="756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64A6DE6" w14:textId="48126528" w:rsidR="0089136F" w:rsidRDefault="00000000">
            <w:pPr>
              <w:spacing w:line="260" w:lineRule="auto"/>
            </w:pPr>
            <w:r>
              <w:rPr>
                <w:sz w:val="18"/>
                <w:szCs w:val="18"/>
              </w:rPr>
              <w:t>BASTYN-</w:t>
            </w:r>
            <w:r w:rsidR="00261D9D">
              <w:rPr>
                <w:sz w:val="18"/>
                <w:szCs w:val="18"/>
              </w:rPr>
              <w:t xml:space="preserve"> </w:t>
            </w:r>
            <w:r>
              <w:rPr>
                <w:sz w:val="18"/>
                <w:szCs w:val="18"/>
              </w:rPr>
              <w:t>2026-0417</w:t>
            </w:r>
          </w:p>
        </w:tc>
      </w:tr>
    </w:tbl>
    <w:p w14:paraId="3141BB2A" w14:textId="77777777" w:rsidR="0089136F" w:rsidRDefault="0089136F">
      <w:pPr>
        <w:spacing w:after="220"/>
      </w:pPr>
    </w:p>
    <w:p w14:paraId="41B61958" w14:textId="77777777" w:rsidR="0089136F" w:rsidRDefault="00000000">
      <w:pPr>
        <w:shd w:val="clear" w:color="auto" w:fill="1E7B34"/>
        <w:spacing w:before="100" w:after="100"/>
        <w:jc w:val="center"/>
      </w:pPr>
      <w:r>
        <w:rPr>
          <w:b/>
          <w:bCs/>
          <w:color w:val="FFFFFF"/>
          <w:sz w:val="17"/>
          <w:szCs w:val="17"/>
        </w:rPr>
        <w:t xml:space="preserve">SILVER — </w:t>
      </w:r>
      <w:proofErr w:type="gramStart"/>
      <w:r>
        <w:rPr>
          <w:b/>
          <w:bCs/>
          <w:color w:val="FFFFFF"/>
          <w:sz w:val="17"/>
          <w:szCs w:val="17"/>
        </w:rPr>
        <w:t>ATTESTED  ·</w:t>
      </w:r>
      <w:proofErr w:type="gramEnd"/>
      <w:r>
        <w:rPr>
          <w:b/>
          <w:bCs/>
          <w:color w:val="FFFFFF"/>
          <w:sz w:val="17"/>
          <w:szCs w:val="17"/>
        </w:rPr>
        <w:t xml:space="preserve">  TRUST SCORE 94.6/</w:t>
      </w:r>
      <w:proofErr w:type="gramStart"/>
      <w:r>
        <w:rPr>
          <w:b/>
          <w:bCs/>
          <w:color w:val="FFFFFF"/>
          <w:sz w:val="17"/>
          <w:szCs w:val="17"/>
        </w:rPr>
        <w:t>100  ·</w:t>
      </w:r>
      <w:proofErr w:type="gramEnd"/>
      <w:r>
        <w:rPr>
          <w:b/>
          <w:bCs/>
          <w:color w:val="FFFFFF"/>
          <w:sz w:val="17"/>
          <w:szCs w:val="17"/>
        </w:rPr>
        <w:t xml:space="preserve">  9/9 UNIVERSAL SECTIONS </w:t>
      </w:r>
      <w:proofErr w:type="gramStart"/>
      <w:r>
        <w:rPr>
          <w:b/>
          <w:bCs/>
          <w:color w:val="FFFFFF"/>
          <w:sz w:val="17"/>
          <w:szCs w:val="17"/>
        </w:rPr>
        <w:t>COMPLETE  ·</w:t>
      </w:r>
      <w:proofErr w:type="gramEnd"/>
      <w:r>
        <w:rPr>
          <w:b/>
          <w:bCs/>
          <w:color w:val="FFFFFF"/>
          <w:sz w:val="17"/>
          <w:szCs w:val="17"/>
        </w:rPr>
        <w:t xml:space="preserve">  18/19 REGULATORY SECTIONS PASS</w:t>
      </w:r>
    </w:p>
    <w:p w14:paraId="01F70BB5" w14:textId="77777777" w:rsidR="0089136F" w:rsidRDefault="0089136F">
      <w:pPr>
        <w:spacing w:after="140"/>
      </w:pPr>
    </w:p>
    <w:p w14:paraId="7D88BDD9" w14:textId="77777777" w:rsidR="0089136F" w:rsidRDefault="00000000">
      <w:pPr>
        <w:pStyle w:val="Heading3"/>
        <w:spacing w:before="160" w:after="80"/>
      </w:pPr>
      <w:r>
        <w:rPr>
          <w:b/>
          <w:bCs/>
          <w:color w:val="1F1F1F"/>
          <w:sz w:val="21"/>
          <w:szCs w:val="21"/>
        </w:rPr>
        <w:t>How to read this pack</w:t>
      </w:r>
    </w:p>
    <w:p w14:paraId="01E8164A" w14:textId="77777777" w:rsidR="0089136F" w:rsidRDefault="00000000">
      <w:pPr>
        <w:spacing w:after="120" w:line="300" w:lineRule="auto"/>
      </w:pPr>
      <w:r>
        <w:t>This file has one evidence base, tested once, read three ways. Part 1 is the universal conformity backbone — the same nine-part shape the EU AI Act's Annex IV uses, applied here as the reference structure regardless of jurisdiction: general description, architecture, testing, risk management, change control, standards, declaration, and post-market monitoring. Part 2 maps that same evidence to DIFC Regulation 10's own structure. Part 3 maps it to the CBUAE AI/ML Guidance Note's own structure. Nothing is re-tested between parts — each finding cites the specific test vector or evidence extract behind it, drawn from the accompanying Evidence Pack.</w:t>
      </w:r>
    </w:p>
    <w:p w14:paraId="3FABC0DE" w14:textId="77777777" w:rsidR="0089136F" w:rsidRDefault="0089136F">
      <w:pPr>
        <w:spacing w:after="120"/>
      </w:pPr>
    </w:p>
    <w:p w14:paraId="3B12D007" w14:textId="77777777" w:rsidR="0089136F" w:rsidRDefault="00000000">
      <w:pPr>
        <w:spacing w:after="120" w:line="300" w:lineRule="auto"/>
      </w:pPr>
      <w:r>
        <w:rPr>
          <w:i/>
          <w:iCs/>
          <w:color w:val="4A4A4A"/>
        </w:rPr>
        <w:t>One finding was identified — CBUAE Section 9, Part 3 — and is logged to the Remediation Roadmap at the end of this pack. It does not revoke the current attestation; it blocks progression beyond Silver until closed.</w:t>
      </w:r>
    </w:p>
    <w:p w14:paraId="5BC3830B" w14:textId="77777777" w:rsidR="0089136F" w:rsidRDefault="00000000">
      <w:r>
        <w:br w:type="page"/>
      </w:r>
    </w:p>
    <w:p w14:paraId="7687296A" w14:textId="77777777" w:rsidR="0089136F" w:rsidRDefault="00000000">
      <w:pPr>
        <w:spacing w:after="60"/>
      </w:pPr>
      <w:r>
        <w:rPr>
          <w:b/>
          <w:bCs/>
          <w:color w:val="AA0605"/>
          <w:spacing w:val="20"/>
          <w:sz w:val="16"/>
          <w:szCs w:val="16"/>
        </w:rPr>
        <w:lastRenderedPageBreak/>
        <w:t>PART 1 OF 3 — UNIVERSAL BACKBONE</w:t>
      </w:r>
    </w:p>
    <w:p w14:paraId="3A4CC158" w14:textId="77777777" w:rsidR="0089136F" w:rsidRDefault="00000000">
      <w:pPr>
        <w:pStyle w:val="Heading1"/>
        <w:pBdr>
          <w:bottom w:val="single" w:sz="6" w:space="6" w:color="AA0605"/>
        </w:pBdr>
        <w:spacing w:before="240" w:after="160"/>
      </w:pPr>
      <w:r>
        <w:rPr>
          <w:b/>
          <w:bCs/>
          <w:color w:val="1F1F1F"/>
          <w:sz w:val="30"/>
          <w:szCs w:val="30"/>
        </w:rPr>
        <w:t>Universal conformity file</w:t>
      </w:r>
    </w:p>
    <w:p w14:paraId="2DA20DC8" w14:textId="77777777" w:rsidR="0089136F" w:rsidRDefault="00000000">
      <w:pPr>
        <w:spacing w:after="120" w:line="300" w:lineRule="auto"/>
      </w:pPr>
      <w:r>
        <w:rPr>
          <w:i/>
          <w:iCs/>
          <w:color w:val="4A4A4A"/>
        </w:rPr>
        <w:t>The same nine-part structure the EU AI Act's Annex IV uses for a per-system conformity file, applied here as good-practice documentation independent of jurisdiction.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
        <w:gridCol w:w="2100"/>
        <w:gridCol w:w="6786"/>
        <w:gridCol w:w="1200"/>
      </w:tblGrid>
      <w:tr w:rsidR="0089136F" w14:paraId="2B40AA47" w14:textId="77777777">
        <w:trPr>
          <w:tblHeader/>
        </w:trPr>
        <w:tc>
          <w:tcPr>
            <w:tcW w:w="38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3CF79011" w14:textId="77777777" w:rsidR="0089136F" w:rsidRDefault="00000000">
            <w:r>
              <w:rPr>
                <w:b/>
                <w:bCs/>
                <w:color w:val="FFFFFF"/>
                <w:sz w:val="18"/>
                <w:szCs w:val="18"/>
              </w:rPr>
              <w:t>#</w:t>
            </w:r>
          </w:p>
        </w:tc>
        <w:tc>
          <w:tcPr>
            <w:tcW w:w="21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005EB0ED" w14:textId="77777777" w:rsidR="0089136F" w:rsidRDefault="00000000">
            <w:r>
              <w:rPr>
                <w:b/>
                <w:bCs/>
                <w:color w:val="FFFFFF"/>
                <w:sz w:val="18"/>
                <w:szCs w:val="18"/>
              </w:rPr>
              <w:t>Section</w:t>
            </w:r>
          </w:p>
        </w:tc>
        <w:tc>
          <w:tcPr>
            <w:tcW w:w="6786"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4BB611EB" w14:textId="77777777" w:rsidR="0089136F" w:rsidRDefault="00000000">
            <w:r>
              <w:rPr>
                <w:b/>
                <w:bCs/>
                <w:color w:val="FFFFFF"/>
                <w:sz w:val="18"/>
                <w:szCs w:val="18"/>
              </w:rPr>
              <w:t>Content</w:t>
            </w:r>
          </w:p>
        </w:tc>
        <w:tc>
          <w:tcPr>
            <w:tcW w:w="12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22DA4974" w14:textId="77777777" w:rsidR="0089136F" w:rsidRDefault="00000000">
            <w:r>
              <w:rPr>
                <w:b/>
                <w:bCs/>
                <w:color w:val="FFFFFF"/>
                <w:sz w:val="18"/>
                <w:szCs w:val="18"/>
              </w:rPr>
              <w:t>Status</w:t>
            </w:r>
          </w:p>
        </w:tc>
      </w:tr>
      <w:tr w:rsidR="0089136F" w14:paraId="2A9AA099" w14:textId="77777777">
        <w:tc>
          <w:tcPr>
            <w:tcW w:w="38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AD1360A" w14:textId="77777777" w:rsidR="0089136F" w:rsidRDefault="00000000">
            <w:pPr>
              <w:spacing w:line="260" w:lineRule="auto"/>
            </w:pPr>
            <w:r>
              <w:rPr>
                <w:sz w:val="18"/>
                <w:szCs w:val="18"/>
              </w:rPr>
              <w:t>1</w:t>
            </w:r>
          </w:p>
        </w:tc>
        <w:tc>
          <w:tcPr>
            <w:tcW w:w="21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7130C13" w14:textId="77777777" w:rsidR="0089136F" w:rsidRDefault="00000000">
            <w:pPr>
              <w:spacing w:line="260" w:lineRule="auto"/>
            </w:pPr>
            <w:r>
              <w:rPr>
                <w:b/>
                <w:bCs/>
                <w:sz w:val="18"/>
                <w:szCs w:val="18"/>
              </w:rPr>
              <w:t>General description</w:t>
            </w:r>
          </w:p>
        </w:tc>
        <w:tc>
          <w:tcPr>
            <w:tcW w:w="678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0C32B11" w14:textId="77777777" w:rsidR="0089136F" w:rsidRDefault="00000000">
            <w:pPr>
              <w:spacing w:line="260" w:lineRule="auto"/>
            </w:pPr>
            <w:r>
              <w:rPr>
                <w:sz w:val="18"/>
                <w:szCs w:val="18"/>
              </w:rPr>
              <w:t>Intended purpose: automated pre-release screening of employer WPS salary batches, flagging anomalies for human review before fund release. Provider: the bank (in-house build on a licensed third-party base model). Version: v2.3, superseding v2.2 following the threshold recalibration below. Interacts with the bank's core payment engine (release/hold instruction), the labour-authority registry feed (employee record matching) and the WPS operations case-management tool (human review queue). Placed on the market as an internal API, embedded in the bank's own WPS pipeline; runs on the bank's private cloud environment with UAE data residency.</w:t>
            </w:r>
          </w:p>
        </w:tc>
        <w:tc>
          <w:tcPr>
            <w:tcW w:w="12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A57EFE2" w14:textId="77777777" w:rsidR="0089136F" w:rsidRDefault="00000000">
            <w:pPr>
              <w:shd w:val="clear" w:color="auto" w:fill="1E7B34"/>
              <w:spacing w:before="20" w:after="20"/>
              <w:jc w:val="center"/>
            </w:pPr>
            <w:r>
              <w:rPr>
                <w:b/>
                <w:bCs/>
                <w:color w:val="FFFFFF"/>
                <w:sz w:val="15"/>
                <w:szCs w:val="15"/>
              </w:rPr>
              <w:t>COMPLETE</w:t>
            </w:r>
          </w:p>
        </w:tc>
      </w:tr>
      <w:tr w:rsidR="0089136F" w14:paraId="28B71A15" w14:textId="77777777">
        <w:tc>
          <w:tcPr>
            <w:tcW w:w="38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90FCBDA" w14:textId="77777777" w:rsidR="0089136F" w:rsidRDefault="00000000">
            <w:pPr>
              <w:spacing w:line="260" w:lineRule="auto"/>
            </w:pPr>
            <w:r>
              <w:rPr>
                <w:sz w:val="18"/>
                <w:szCs w:val="18"/>
              </w:rPr>
              <w:t>2</w:t>
            </w:r>
          </w:p>
        </w:tc>
        <w:tc>
          <w:tcPr>
            <w:tcW w:w="21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3E0C1B80" w14:textId="77777777" w:rsidR="0089136F" w:rsidRDefault="00000000">
            <w:pPr>
              <w:spacing w:line="260" w:lineRule="auto"/>
            </w:pPr>
            <w:r>
              <w:rPr>
                <w:b/>
                <w:bCs/>
                <w:sz w:val="18"/>
                <w:szCs w:val="18"/>
              </w:rPr>
              <w:t>Development elements and process</w:t>
            </w:r>
          </w:p>
        </w:tc>
        <w:tc>
          <w:tcPr>
            <w:tcW w:w="678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187C4E7" w14:textId="77777777" w:rsidR="0089136F" w:rsidRDefault="00000000">
            <w:pPr>
              <w:spacing w:line="260" w:lineRule="auto"/>
            </w:pPr>
            <w:r>
              <w:rPr>
                <w:sz w:val="18"/>
                <w:szCs w:val="18"/>
              </w:rPr>
              <w:t>Fine-tuned on a licensed third-party base model (see Extract A; provenance detail under CBUAE Section 9, Part 3). Key design choices: an anomaly threshold of 0.72, automatic routing of any batch above threshold to mandatory human review, and exclusion of protected characteristics as model features. Architecture: batch ingestion → feature extraction → anomaly scoring → threshold routing → human review queue or auto-release. Training/validation data drawn solely from the bank's own WPS batch history and the labour-authority registry feed. Human oversight assessed and confirmed mandatory above threshold. Any model, prompt or threshold change automatically triggers a conformity-impact re-review ahead of the next scheduled cycle.</w:t>
            </w:r>
          </w:p>
        </w:tc>
        <w:tc>
          <w:tcPr>
            <w:tcW w:w="12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099D618" w14:textId="77777777" w:rsidR="0089136F" w:rsidRDefault="00000000">
            <w:pPr>
              <w:shd w:val="clear" w:color="auto" w:fill="1E7B34"/>
              <w:spacing w:before="20" w:after="20"/>
              <w:jc w:val="center"/>
            </w:pPr>
            <w:r>
              <w:rPr>
                <w:b/>
                <w:bCs/>
                <w:color w:val="FFFFFF"/>
                <w:sz w:val="15"/>
                <w:szCs w:val="15"/>
              </w:rPr>
              <w:t>COMPLETE</w:t>
            </w:r>
          </w:p>
        </w:tc>
      </w:tr>
      <w:tr w:rsidR="0089136F" w14:paraId="493C0C85" w14:textId="77777777">
        <w:tc>
          <w:tcPr>
            <w:tcW w:w="38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370566C" w14:textId="77777777" w:rsidR="0089136F" w:rsidRDefault="00000000">
            <w:pPr>
              <w:spacing w:line="260" w:lineRule="auto"/>
            </w:pPr>
            <w:r>
              <w:rPr>
                <w:sz w:val="18"/>
                <w:szCs w:val="18"/>
              </w:rPr>
              <w:t>3</w:t>
            </w:r>
          </w:p>
        </w:tc>
        <w:tc>
          <w:tcPr>
            <w:tcW w:w="21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7B03474" w14:textId="77777777" w:rsidR="0089136F" w:rsidRDefault="00000000">
            <w:pPr>
              <w:spacing w:line="260" w:lineRule="auto"/>
            </w:pPr>
            <w:r>
              <w:rPr>
                <w:b/>
                <w:bCs/>
                <w:sz w:val="18"/>
                <w:szCs w:val="18"/>
              </w:rPr>
              <w:t>Monitoring, functioning and control</w:t>
            </w:r>
          </w:p>
        </w:tc>
        <w:tc>
          <w:tcPr>
            <w:tcW w:w="678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DD925B7" w14:textId="77777777" w:rsidR="0089136F" w:rsidRDefault="00000000">
            <w:pPr>
              <w:spacing w:line="260" w:lineRule="auto"/>
            </w:pPr>
            <w:r>
              <w:rPr>
                <w:sz w:val="18"/>
                <w:szCs w:val="18"/>
              </w:rPr>
              <w:t xml:space="preserve">Accuracy confirmed across employer-size, sector and workforce-nationality bands (flagging-rate ratios 0.87–0.94 — Evidence Pack, Extract B). Known limitation: thin-file / newly onboarded employers carry a higher false-positive rate, tracked but not yet separately </w:t>
            </w:r>
            <w:proofErr w:type="spellStart"/>
            <w:r>
              <w:rPr>
                <w:sz w:val="18"/>
                <w:szCs w:val="18"/>
              </w:rPr>
              <w:t>thresholded</w:t>
            </w:r>
            <w:proofErr w:type="spellEnd"/>
            <w:r>
              <w:rPr>
                <w:sz w:val="18"/>
                <w:szCs w:val="18"/>
              </w:rPr>
              <w:t>. Foreseeable unintended outcome: a false-positive flag delaying a wage payment, mitigated by a 4-business-hour human-review SLA. Principal risk source outside the model itself: third-party base-model provenance (see Section 9, Part 3). Input data specification: WPS batch JSON schema and labour-authority registry feed format.</w:t>
            </w:r>
          </w:p>
        </w:tc>
        <w:tc>
          <w:tcPr>
            <w:tcW w:w="12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2E889800" w14:textId="77777777" w:rsidR="0089136F" w:rsidRDefault="00000000">
            <w:pPr>
              <w:shd w:val="clear" w:color="auto" w:fill="1E7B34"/>
              <w:spacing w:before="20" w:after="20"/>
              <w:jc w:val="center"/>
            </w:pPr>
            <w:r>
              <w:rPr>
                <w:b/>
                <w:bCs/>
                <w:color w:val="FFFFFF"/>
                <w:sz w:val="15"/>
                <w:szCs w:val="15"/>
              </w:rPr>
              <w:t>COMPLETE</w:t>
            </w:r>
          </w:p>
        </w:tc>
      </w:tr>
      <w:tr w:rsidR="0089136F" w14:paraId="69D7CEB0" w14:textId="77777777">
        <w:tc>
          <w:tcPr>
            <w:tcW w:w="38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FB91FF6" w14:textId="77777777" w:rsidR="0089136F" w:rsidRDefault="00000000">
            <w:pPr>
              <w:spacing w:line="260" w:lineRule="auto"/>
            </w:pPr>
            <w:r>
              <w:rPr>
                <w:sz w:val="18"/>
                <w:szCs w:val="18"/>
              </w:rPr>
              <w:t>4</w:t>
            </w:r>
          </w:p>
        </w:tc>
        <w:tc>
          <w:tcPr>
            <w:tcW w:w="21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C0BEB73" w14:textId="77777777" w:rsidR="0089136F" w:rsidRDefault="00000000">
            <w:pPr>
              <w:spacing w:line="260" w:lineRule="auto"/>
            </w:pPr>
            <w:r>
              <w:rPr>
                <w:b/>
                <w:bCs/>
                <w:sz w:val="18"/>
                <w:szCs w:val="18"/>
              </w:rPr>
              <w:t>Validation and testing</w:t>
            </w:r>
          </w:p>
        </w:tc>
        <w:tc>
          <w:tcPr>
            <w:tcW w:w="678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0544E68" w14:textId="77777777" w:rsidR="0089136F" w:rsidRDefault="00000000">
            <w:pPr>
              <w:spacing w:line="260" w:lineRule="auto"/>
            </w:pPr>
            <w:r>
              <w:rPr>
                <w:sz w:val="18"/>
                <w:szCs w:val="18"/>
              </w:rPr>
              <w:t>126 tests executed across 21 of BASTYN's 23 applicable behavioural test vectors, 96.8% pass rate (Evidence Pack, Vector Performance table). Fairness metric: flagging-rate ratio 0.87–0.94 against a ≥0.80 threshold. Dated, signed test logs on file: bias test log, 21 July 2026 (Extract B); human-intervention trigger log (Extract C); cessation-capability test, 19 July 2026 (Extract D).</w:t>
            </w:r>
          </w:p>
        </w:tc>
        <w:tc>
          <w:tcPr>
            <w:tcW w:w="12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D50A508" w14:textId="77777777" w:rsidR="0089136F" w:rsidRDefault="00000000">
            <w:pPr>
              <w:shd w:val="clear" w:color="auto" w:fill="1E7B34"/>
              <w:spacing w:before="20" w:after="20"/>
              <w:jc w:val="center"/>
            </w:pPr>
            <w:r>
              <w:rPr>
                <w:b/>
                <w:bCs/>
                <w:color w:val="FFFFFF"/>
                <w:sz w:val="15"/>
                <w:szCs w:val="15"/>
              </w:rPr>
              <w:t>COMPLETE</w:t>
            </w:r>
          </w:p>
        </w:tc>
      </w:tr>
      <w:tr w:rsidR="0089136F" w14:paraId="54A00195" w14:textId="77777777">
        <w:tc>
          <w:tcPr>
            <w:tcW w:w="38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7212B47" w14:textId="77777777" w:rsidR="0089136F" w:rsidRDefault="00000000">
            <w:pPr>
              <w:spacing w:line="260" w:lineRule="auto"/>
            </w:pPr>
            <w:r>
              <w:rPr>
                <w:sz w:val="18"/>
                <w:szCs w:val="18"/>
              </w:rPr>
              <w:t>5</w:t>
            </w:r>
          </w:p>
        </w:tc>
        <w:tc>
          <w:tcPr>
            <w:tcW w:w="21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E860780" w14:textId="77777777" w:rsidR="0089136F" w:rsidRDefault="00000000">
            <w:pPr>
              <w:spacing w:line="260" w:lineRule="auto"/>
            </w:pPr>
            <w:r>
              <w:rPr>
                <w:b/>
                <w:bCs/>
                <w:sz w:val="18"/>
                <w:szCs w:val="18"/>
              </w:rPr>
              <w:t>Risk management system</w:t>
            </w:r>
          </w:p>
        </w:tc>
        <w:tc>
          <w:tcPr>
            <w:tcW w:w="678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26DAA8FF" w14:textId="77777777" w:rsidR="0089136F" w:rsidRDefault="00000000">
            <w:pPr>
              <w:spacing w:line="260" w:lineRule="auto"/>
            </w:pPr>
            <w:r>
              <w:rPr>
                <w:sz w:val="18"/>
                <w:szCs w:val="18"/>
              </w:rPr>
              <w:t>Run as a continuous process, not a point-in-time exercise: quarterly re-assessment plus event-triggered review on any model, prompt or threshold change. One open risk-register item at time of assessment — the CBUAE Section 9 finding (third-party cybersecurity review overdue), rated HIGH, blocking Gold-track progression, 30-day remediation deadline. All other identified risks are closed or under routine monitoring.</w:t>
            </w:r>
          </w:p>
        </w:tc>
        <w:tc>
          <w:tcPr>
            <w:tcW w:w="12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2D91FCE7" w14:textId="77777777" w:rsidR="0089136F" w:rsidRDefault="00000000">
            <w:pPr>
              <w:shd w:val="clear" w:color="auto" w:fill="1E7B34"/>
              <w:spacing w:before="20" w:after="20"/>
              <w:jc w:val="center"/>
            </w:pPr>
            <w:r>
              <w:rPr>
                <w:b/>
                <w:bCs/>
                <w:color w:val="FFFFFF"/>
                <w:sz w:val="15"/>
                <w:szCs w:val="15"/>
              </w:rPr>
              <w:t>COMPLETE</w:t>
            </w:r>
          </w:p>
        </w:tc>
      </w:tr>
      <w:tr w:rsidR="0089136F" w14:paraId="54885352" w14:textId="77777777">
        <w:tc>
          <w:tcPr>
            <w:tcW w:w="38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9699EE7" w14:textId="77777777" w:rsidR="0089136F" w:rsidRDefault="00000000">
            <w:pPr>
              <w:spacing w:line="260" w:lineRule="auto"/>
            </w:pPr>
            <w:r>
              <w:rPr>
                <w:sz w:val="18"/>
                <w:szCs w:val="18"/>
              </w:rPr>
              <w:t>6</w:t>
            </w:r>
          </w:p>
        </w:tc>
        <w:tc>
          <w:tcPr>
            <w:tcW w:w="21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401BB5E" w14:textId="77777777" w:rsidR="0089136F" w:rsidRDefault="00000000">
            <w:pPr>
              <w:spacing w:line="260" w:lineRule="auto"/>
            </w:pPr>
            <w:r>
              <w:rPr>
                <w:b/>
                <w:bCs/>
                <w:sz w:val="18"/>
                <w:szCs w:val="18"/>
              </w:rPr>
              <w:t>Lifecycle changes</w:t>
            </w:r>
          </w:p>
        </w:tc>
        <w:tc>
          <w:tcPr>
            <w:tcW w:w="678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517DC882" w14:textId="77777777" w:rsidR="0089136F" w:rsidRDefault="00000000">
            <w:pPr>
              <w:spacing w:line="260" w:lineRule="auto"/>
            </w:pPr>
            <w:r>
              <w:rPr>
                <w:sz w:val="18"/>
                <w:szCs w:val="18"/>
              </w:rPr>
              <w:t>v2.3 recalibrated the anomaly threshold from 0.68 to 0.72 on 2 July 2026 to reduce the false-positive rate, which in turn triggered an out-of-cycle DPIA / conformity-impact review, completed 14 July 2026 (see DIFC Section 2, Part 2). No other material change logged in the current assessment period.</w:t>
            </w:r>
          </w:p>
        </w:tc>
        <w:tc>
          <w:tcPr>
            <w:tcW w:w="12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61820861" w14:textId="77777777" w:rsidR="0089136F" w:rsidRDefault="00000000">
            <w:pPr>
              <w:shd w:val="clear" w:color="auto" w:fill="1E7B34"/>
              <w:spacing w:before="20" w:after="20"/>
              <w:jc w:val="center"/>
            </w:pPr>
            <w:r>
              <w:rPr>
                <w:b/>
                <w:bCs/>
                <w:color w:val="FFFFFF"/>
                <w:sz w:val="15"/>
                <w:szCs w:val="15"/>
              </w:rPr>
              <w:t>COMPLETE</w:t>
            </w:r>
          </w:p>
        </w:tc>
      </w:tr>
      <w:tr w:rsidR="0089136F" w14:paraId="6E34E63A" w14:textId="77777777">
        <w:tc>
          <w:tcPr>
            <w:tcW w:w="38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0CF141B7" w14:textId="77777777" w:rsidR="0089136F" w:rsidRDefault="00000000">
            <w:pPr>
              <w:spacing w:line="260" w:lineRule="auto"/>
            </w:pPr>
            <w:r>
              <w:rPr>
                <w:sz w:val="18"/>
                <w:szCs w:val="18"/>
              </w:rPr>
              <w:t>7</w:t>
            </w:r>
          </w:p>
        </w:tc>
        <w:tc>
          <w:tcPr>
            <w:tcW w:w="21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E72C38D" w14:textId="77777777" w:rsidR="0089136F" w:rsidRDefault="00000000">
            <w:pPr>
              <w:spacing w:line="260" w:lineRule="auto"/>
            </w:pPr>
            <w:r>
              <w:rPr>
                <w:b/>
                <w:bCs/>
                <w:sz w:val="18"/>
                <w:szCs w:val="18"/>
              </w:rPr>
              <w:t>Standards applied</w:t>
            </w:r>
          </w:p>
        </w:tc>
        <w:tc>
          <w:tcPr>
            <w:tcW w:w="678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3C4C94C" w14:textId="77777777" w:rsidR="0089136F" w:rsidRDefault="00000000">
            <w:pPr>
              <w:spacing w:line="260" w:lineRule="auto"/>
            </w:pPr>
            <w:r>
              <w:rPr>
                <w:sz w:val="18"/>
                <w:szCs w:val="18"/>
              </w:rPr>
              <w:t>CBUAE Model Management Standards and Model Management Guidance (2022); ISO/IEC 42001:2023 (cross-referenced, voluntary); DIFC Regulation 10 Accreditation and Certification Framework; UAE PDPL (Federal Decree Law No. 45 of 2021). No EU-specific harmonised standard applies to this UAE-scoped assessment; where a customer also operates under the EU AI Act, BASTYN's equivalent pack cites the relevant harmonised standards under Annex IV Section 7 instead.</w:t>
            </w:r>
          </w:p>
        </w:tc>
        <w:tc>
          <w:tcPr>
            <w:tcW w:w="12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F6B309E" w14:textId="77777777" w:rsidR="0089136F" w:rsidRDefault="00000000">
            <w:pPr>
              <w:shd w:val="clear" w:color="auto" w:fill="1E7B34"/>
              <w:spacing w:before="20" w:after="20"/>
              <w:jc w:val="center"/>
            </w:pPr>
            <w:r>
              <w:rPr>
                <w:b/>
                <w:bCs/>
                <w:color w:val="FFFFFF"/>
                <w:sz w:val="15"/>
                <w:szCs w:val="15"/>
              </w:rPr>
              <w:t>COMPLETE</w:t>
            </w:r>
          </w:p>
        </w:tc>
      </w:tr>
      <w:tr w:rsidR="0089136F" w14:paraId="11510AD0" w14:textId="77777777">
        <w:tc>
          <w:tcPr>
            <w:tcW w:w="38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E712E2F" w14:textId="77777777" w:rsidR="0089136F" w:rsidRDefault="00000000">
            <w:pPr>
              <w:spacing w:line="260" w:lineRule="auto"/>
            </w:pPr>
            <w:r>
              <w:rPr>
                <w:sz w:val="18"/>
                <w:szCs w:val="18"/>
              </w:rPr>
              <w:lastRenderedPageBreak/>
              <w:t>8</w:t>
            </w:r>
          </w:p>
        </w:tc>
        <w:tc>
          <w:tcPr>
            <w:tcW w:w="21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5705CFA9" w14:textId="77777777" w:rsidR="0089136F" w:rsidRDefault="00000000">
            <w:pPr>
              <w:spacing w:line="260" w:lineRule="auto"/>
            </w:pPr>
            <w:r>
              <w:rPr>
                <w:b/>
                <w:bCs/>
                <w:sz w:val="18"/>
                <w:szCs w:val="18"/>
              </w:rPr>
              <w:t>Declaration</w:t>
            </w:r>
          </w:p>
        </w:tc>
        <w:tc>
          <w:tcPr>
            <w:tcW w:w="678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4FC79B6" w14:textId="77777777" w:rsidR="0089136F" w:rsidRDefault="00000000">
            <w:pPr>
              <w:spacing w:line="260" w:lineRule="auto"/>
            </w:pPr>
            <w:r>
              <w:rPr>
                <w:sz w:val="18"/>
                <w:szCs w:val="18"/>
              </w:rPr>
              <w:t>DIFC and CBUAE have no direct equivalent of the EU's Declaration of Conformity; the functional equivalent here is BASTYN's signed Trust Attestation. Declaration on file: “BASTYN confirms the assessment described in this file was conducted against the stated scope, that the findings are accurate as at the assessment date, and that continuous monitoring remains active for the validity period of the associated Trust Attestation.” Reference: BASTYN-DIFC-CBUAE-2026-0417.</w:t>
            </w:r>
          </w:p>
        </w:tc>
        <w:tc>
          <w:tcPr>
            <w:tcW w:w="12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34D60380" w14:textId="77777777" w:rsidR="0089136F" w:rsidRDefault="00000000">
            <w:pPr>
              <w:shd w:val="clear" w:color="auto" w:fill="1E7B34"/>
              <w:spacing w:before="20" w:after="20"/>
              <w:jc w:val="center"/>
            </w:pPr>
            <w:r>
              <w:rPr>
                <w:b/>
                <w:bCs/>
                <w:color w:val="FFFFFF"/>
                <w:sz w:val="15"/>
                <w:szCs w:val="15"/>
              </w:rPr>
              <w:t>COMPLETE</w:t>
            </w:r>
          </w:p>
        </w:tc>
      </w:tr>
      <w:tr w:rsidR="0089136F" w14:paraId="4D6EAA13" w14:textId="77777777">
        <w:tc>
          <w:tcPr>
            <w:tcW w:w="38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D1881B6" w14:textId="77777777" w:rsidR="0089136F" w:rsidRDefault="00000000">
            <w:pPr>
              <w:spacing w:line="260" w:lineRule="auto"/>
            </w:pPr>
            <w:r>
              <w:rPr>
                <w:sz w:val="18"/>
                <w:szCs w:val="18"/>
              </w:rPr>
              <w:t>9</w:t>
            </w:r>
          </w:p>
        </w:tc>
        <w:tc>
          <w:tcPr>
            <w:tcW w:w="21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0350D24" w14:textId="77777777" w:rsidR="0089136F" w:rsidRDefault="00000000">
            <w:pPr>
              <w:spacing w:line="260" w:lineRule="auto"/>
            </w:pPr>
            <w:r>
              <w:rPr>
                <w:b/>
                <w:bCs/>
                <w:sz w:val="18"/>
                <w:szCs w:val="18"/>
              </w:rPr>
              <w:t>Post-market monitoring plan</w:t>
            </w:r>
          </w:p>
        </w:tc>
        <w:tc>
          <w:tcPr>
            <w:tcW w:w="678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E45F8D0" w14:textId="77777777" w:rsidR="0089136F" w:rsidRDefault="00000000">
            <w:pPr>
              <w:spacing w:line="260" w:lineRule="auto"/>
            </w:pPr>
            <w:r>
              <w:rPr>
                <w:sz w:val="18"/>
                <w:szCs w:val="18"/>
              </w:rPr>
              <w:t>Live dashboard tracks flagging rate, review turnaround and false-positive rate (CBUAE Section 6, Part 3). Quarterly re-assessment cadence plus event-triggered reviews (DIFC Section 9, Part 2). Cessation / auto-revocation capability tested and armed (Extract D). Next scheduled review: 27 October 2026.</w:t>
            </w:r>
          </w:p>
        </w:tc>
        <w:tc>
          <w:tcPr>
            <w:tcW w:w="12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0D67427F" w14:textId="77777777" w:rsidR="0089136F" w:rsidRDefault="00000000">
            <w:pPr>
              <w:shd w:val="clear" w:color="auto" w:fill="1E7B34"/>
              <w:spacing w:before="20" w:after="20"/>
              <w:jc w:val="center"/>
            </w:pPr>
            <w:r>
              <w:rPr>
                <w:b/>
                <w:bCs/>
                <w:color w:val="FFFFFF"/>
                <w:sz w:val="15"/>
                <w:szCs w:val="15"/>
              </w:rPr>
              <w:t>COMPLETE</w:t>
            </w:r>
          </w:p>
        </w:tc>
      </w:tr>
    </w:tbl>
    <w:p w14:paraId="297F6DA0" w14:textId="77777777" w:rsidR="0089136F" w:rsidRDefault="00000000">
      <w:r>
        <w:br w:type="page"/>
      </w:r>
    </w:p>
    <w:p w14:paraId="189D5AFC" w14:textId="77777777" w:rsidR="0089136F" w:rsidRDefault="00000000">
      <w:pPr>
        <w:spacing w:after="60"/>
      </w:pPr>
      <w:r>
        <w:rPr>
          <w:b/>
          <w:bCs/>
          <w:color w:val="AA0605"/>
          <w:spacing w:val="20"/>
          <w:sz w:val="16"/>
          <w:szCs w:val="16"/>
        </w:rPr>
        <w:lastRenderedPageBreak/>
        <w:t>PART 2 OF 3 — REGULATORY MAPPING</w:t>
      </w:r>
    </w:p>
    <w:p w14:paraId="67B83070" w14:textId="77777777" w:rsidR="0089136F" w:rsidRDefault="00000000">
      <w:pPr>
        <w:pStyle w:val="Heading1"/>
        <w:pBdr>
          <w:bottom w:val="single" w:sz="6" w:space="6" w:color="AA0605"/>
        </w:pBdr>
        <w:spacing w:before="240" w:after="160"/>
      </w:pPr>
      <w:r>
        <w:rPr>
          <w:b/>
          <w:bCs/>
          <w:color w:val="1F1F1F"/>
          <w:sz w:val="30"/>
          <w:szCs w:val="30"/>
        </w:rPr>
        <w:t>DIFC Regulation 10 — assessment findings</w:t>
      </w:r>
    </w:p>
    <w:tbl>
      <w:tblPr>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4"/>
        <w:gridCol w:w="1748"/>
        <w:gridCol w:w="5953"/>
        <w:gridCol w:w="1431"/>
        <w:gridCol w:w="731"/>
      </w:tblGrid>
      <w:tr w:rsidR="00261D9D" w14:paraId="089A374D" w14:textId="77777777" w:rsidTr="00261D9D">
        <w:trPr>
          <w:tblHeader/>
        </w:trPr>
        <w:tc>
          <w:tcPr>
            <w:tcW w:w="374"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2027300D" w14:textId="77777777" w:rsidR="00261D9D" w:rsidRDefault="00261D9D">
            <w:r>
              <w:rPr>
                <w:b/>
                <w:bCs/>
                <w:color w:val="FFFFFF"/>
                <w:sz w:val="18"/>
                <w:szCs w:val="18"/>
              </w:rPr>
              <w:t>#</w:t>
            </w:r>
          </w:p>
        </w:tc>
        <w:tc>
          <w:tcPr>
            <w:tcW w:w="1748"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1A6B23C3" w14:textId="77777777" w:rsidR="00261D9D" w:rsidRDefault="00261D9D">
            <w:r>
              <w:rPr>
                <w:b/>
                <w:bCs/>
                <w:color w:val="FFFFFF"/>
                <w:sz w:val="18"/>
                <w:szCs w:val="18"/>
              </w:rPr>
              <w:t>Section</w:t>
            </w:r>
          </w:p>
        </w:tc>
        <w:tc>
          <w:tcPr>
            <w:tcW w:w="5953"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1B47BCCB" w14:textId="77777777" w:rsidR="00261D9D" w:rsidRDefault="00261D9D">
            <w:r>
              <w:rPr>
                <w:b/>
                <w:bCs/>
                <w:color w:val="FFFFFF"/>
                <w:sz w:val="18"/>
                <w:szCs w:val="18"/>
              </w:rPr>
              <w:t>Assessment finding</w:t>
            </w:r>
          </w:p>
        </w:tc>
        <w:tc>
          <w:tcPr>
            <w:tcW w:w="1431" w:type="dxa"/>
            <w:tcBorders>
              <w:top w:val="single" w:sz="4" w:space="0" w:color="D9D9D9"/>
              <w:left w:val="single" w:sz="4" w:space="0" w:color="D9D9D9"/>
              <w:bottom w:val="single" w:sz="4" w:space="0" w:color="D9D9D9"/>
              <w:right w:val="single" w:sz="4" w:space="0" w:color="D9D9D9"/>
            </w:tcBorders>
            <w:shd w:val="clear" w:color="auto" w:fill="AA0605"/>
          </w:tcPr>
          <w:p w14:paraId="2DD859F8" w14:textId="6DBF11FF" w:rsidR="00261D9D" w:rsidRDefault="00261D9D">
            <w:pPr>
              <w:rPr>
                <w:b/>
                <w:bCs/>
                <w:color w:val="FFFFFF"/>
                <w:sz w:val="18"/>
                <w:szCs w:val="18"/>
              </w:rPr>
            </w:pPr>
            <w:r>
              <w:rPr>
                <w:b/>
                <w:bCs/>
                <w:color w:val="FFFFFF"/>
                <w:sz w:val="18"/>
                <w:szCs w:val="18"/>
              </w:rPr>
              <w:t>Evidence</w:t>
            </w:r>
          </w:p>
        </w:tc>
        <w:tc>
          <w:tcPr>
            <w:tcW w:w="731"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2A228021" w14:textId="610F951D" w:rsidR="00261D9D" w:rsidRDefault="00261D9D">
            <w:r>
              <w:rPr>
                <w:b/>
                <w:bCs/>
                <w:color w:val="FFFFFF"/>
                <w:sz w:val="18"/>
                <w:szCs w:val="18"/>
              </w:rPr>
              <w:t>Status</w:t>
            </w:r>
          </w:p>
        </w:tc>
      </w:tr>
      <w:tr w:rsidR="00261D9D" w14:paraId="04883BFC"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F483920" w14:textId="77777777" w:rsidR="00261D9D" w:rsidRDefault="00261D9D">
            <w:pPr>
              <w:spacing w:line="260" w:lineRule="auto"/>
            </w:pPr>
            <w:r>
              <w:rPr>
                <w:sz w:val="18"/>
                <w:szCs w:val="18"/>
              </w:rPr>
              <w:t>1</w:t>
            </w:r>
          </w:p>
        </w:tc>
        <w:tc>
          <w:tcPr>
            <w:tcW w:w="174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0C44449" w14:textId="77777777" w:rsidR="00261D9D" w:rsidRDefault="00261D9D">
            <w:pPr>
              <w:spacing w:line="260" w:lineRule="auto"/>
            </w:pPr>
            <w:r>
              <w:rPr>
                <w:b/>
                <w:bCs/>
                <w:sz w:val="18"/>
                <w:szCs w:val="18"/>
              </w:rPr>
              <w:t>System &amp; actor classification</w:t>
            </w:r>
          </w:p>
        </w:tc>
        <w:tc>
          <w:tcPr>
            <w:tcW w:w="5953"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47C7F2E" w14:textId="4313739D" w:rsidR="00261D9D" w:rsidRDefault="00261D9D">
            <w:pPr>
              <w:spacing w:line="260" w:lineRule="auto"/>
            </w:pPr>
            <w:proofErr w:type="spellStart"/>
            <w:r>
              <w:rPr>
                <w:sz w:val="18"/>
                <w:szCs w:val="18"/>
              </w:rPr>
              <w:t>wps</w:t>
            </w:r>
            <w:proofErr w:type="spellEnd"/>
            <w:r>
              <w:rPr>
                <w:sz w:val="18"/>
                <w:szCs w:val="18"/>
              </w:rPr>
              <w:t xml:space="preserve">-salary-anomaly-agent v2.3 assessed against Regulation 10.1's system definitions and confirmed as a semi-autonomous system engaged in </w:t>
            </w:r>
            <w:proofErr w:type="gramStart"/>
            <w:r>
              <w:rPr>
                <w:sz w:val="18"/>
                <w:szCs w:val="18"/>
              </w:rPr>
              <w:t>High Risk</w:t>
            </w:r>
            <w:proofErr w:type="gramEnd"/>
            <w:r>
              <w:rPr>
                <w:sz w:val="18"/>
                <w:szCs w:val="18"/>
              </w:rPr>
              <w:t xml:space="preserve"> Processing: it screens salary batches and makes an automated release/hold decision affecting the wages of individual employees, most of whom have no direct relationship with the bank. The bank holds both the Deployer and Operator roles; no Provider-only exemption applies. </w:t>
            </w:r>
          </w:p>
        </w:tc>
        <w:tc>
          <w:tcPr>
            <w:tcW w:w="1431" w:type="dxa"/>
            <w:tcBorders>
              <w:top w:val="single" w:sz="4" w:space="0" w:color="D9D9D9"/>
              <w:left w:val="single" w:sz="4" w:space="0" w:color="D9D9D9"/>
              <w:bottom w:val="single" w:sz="4" w:space="0" w:color="D9D9D9"/>
              <w:right w:val="single" w:sz="4" w:space="0" w:color="D9D9D9"/>
            </w:tcBorders>
            <w:shd w:val="clear" w:color="auto" w:fill="FFFFFF"/>
          </w:tcPr>
          <w:p w14:paraId="071049A2" w14:textId="1F2755CE" w:rsidR="00261D9D" w:rsidRPr="00261D9D" w:rsidRDefault="00261D9D" w:rsidP="00261D9D">
            <w:pPr>
              <w:spacing w:line="260" w:lineRule="auto"/>
            </w:pPr>
            <w:r>
              <w:rPr>
                <w:sz w:val="18"/>
                <w:szCs w:val="18"/>
              </w:rPr>
              <w:t>Part 1, Section 1</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727FFAB" w14:textId="6000502A" w:rsidR="00261D9D" w:rsidRDefault="00261D9D">
            <w:pPr>
              <w:shd w:val="clear" w:color="auto" w:fill="1E7B34"/>
              <w:spacing w:before="20" w:after="20"/>
              <w:jc w:val="center"/>
            </w:pPr>
            <w:r>
              <w:rPr>
                <w:b/>
                <w:bCs/>
                <w:color w:val="FFFFFF"/>
                <w:sz w:val="15"/>
                <w:szCs w:val="15"/>
              </w:rPr>
              <w:t>PASS</w:t>
            </w:r>
          </w:p>
        </w:tc>
      </w:tr>
      <w:tr w:rsidR="00261D9D" w14:paraId="2D7E09E8"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971E57F" w14:textId="77777777" w:rsidR="00261D9D" w:rsidRDefault="00261D9D">
            <w:pPr>
              <w:spacing w:line="260" w:lineRule="auto"/>
            </w:pPr>
            <w:r>
              <w:rPr>
                <w:sz w:val="18"/>
                <w:szCs w:val="18"/>
              </w:rPr>
              <w:t>2</w:t>
            </w:r>
          </w:p>
        </w:tc>
        <w:tc>
          <w:tcPr>
            <w:tcW w:w="1748"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217E26C2" w14:textId="77777777" w:rsidR="00261D9D" w:rsidRDefault="00261D9D">
            <w:pPr>
              <w:spacing w:line="260" w:lineRule="auto"/>
            </w:pPr>
            <w:r>
              <w:rPr>
                <w:b/>
                <w:bCs/>
                <w:sz w:val="18"/>
                <w:szCs w:val="18"/>
              </w:rPr>
              <w:t>AI impact assessment</w:t>
            </w:r>
          </w:p>
        </w:tc>
        <w:tc>
          <w:tcPr>
            <w:tcW w:w="5953"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FA1B06C" w14:textId="1B4D4BAE" w:rsidR="00261D9D" w:rsidRDefault="00261D9D">
            <w:pPr>
              <w:spacing w:line="260" w:lineRule="auto"/>
            </w:pPr>
            <w:r>
              <w:rPr>
                <w:sz w:val="18"/>
                <w:szCs w:val="18"/>
              </w:rPr>
              <w:t xml:space="preserve">A DPIA-equivalent impact assessment was reviewed, dated 14 July 2026, triggered by the v2.3 threshold change. It identifies the principal risk to affected individuals as a false-positive anomaly flag delaying a wage </w:t>
            </w:r>
            <w:proofErr w:type="gramStart"/>
            <w:r>
              <w:rPr>
                <w:sz w:val="18"/>
                <w:szCs w:val="18"/>
              </w:rPr>
              <w:t>payment, and</w:t>
            </w:r>
            <w:proofErr w:type="gramEnd"/>
            <w:r>
              <w:rPr>
                <w:sz w:val="18"/>
                <w:szCs w:val="18"/>
              </w:rPr>
              <w:t xml:space="preserve"> records a mitigating 4-business-hour human-review SLA. </w:t>
            </w:r>
          </w:p>
        </w:tc>
        <w:tc>
          <w:tcPr>
            <w:tcW w:w="1431" w:type="dxa"/>
            <w:tcBorders>
              <w:top w:val="single" w:sz="4" w:space="0" w:color="D9D9D9"/>
              <w:left w:val="single" w:sz="4" w:space="0" w:color="D9D9D9"/>
              <w:bottom w:val="single" w:sz="4" w:space="0" w:color="D9D9D9"/>
              <w:right w:val="single" w:sz="4" w:space="0" w:color="D9D9D9"/>
            </w:tcBorders>
            <w:shd w:val="clear" w:color="auto" w:fill="FBF3F3"/>
          </w:tcPr>
          <w:p w14:paraId="7AC6088B" w14:textId="631E007C" w:rsidR="00261D9D" w:rsidRPr="00261D9D" w:rsidRDefault="00261D9D" w:rsidP="00261D9D">
            <w:pPr>
              <w:spacing w:line="260" w:lineRule="auto"/>
            </w:pPr>
            <w:r>
              <w:rPr>
                <w:sz w:val="18"/>
                <w:szCs w:val="18"/>
              </w:rPr>
              <w:t>Part 1, Sections 3 and 6.</w:t>
            </w: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8FA182A" w14:textId="16E56E52" w:rsidR="00261D9D" w:rsidRDefault="00261D9D">
            <w:pPr>
              <w:shd w:val="clear" w:color="auto" w:fill="1E7B34"/>
              <w:spacing w:before="20" w:after="20"/>
              <w:jc w:val="center"/>
            </w:pPr>
            <w:r>
              <w:rPr>
                <w:b/>
                <w:bCs/>
                <w:color w:val="FFFFFF"/>
                <w:sz w:val="15"/>
                <w:szCs w:val="15"/>
              </w:rPr>
              <w:t>PASS</w:t>
            </w:r>
          </w:p>
        </w:tc>
      </w:tr>
      <w:tr w:rsidR="00261D9D" w14:paraId="2EBF2292"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74ECC7E" w14:textId="77777777" w:rsidR="00261D9D" w:rsidRDefault="00261D9D">
            <w:pPr>
              <w:spacing w:line="260" w:lineRule="auto"/>
            </w:pPr>
            <w:r>
              <w:rPr>
                <w:sz w:val="18"/>
                <w:szCs w:val="18"/>
              </w:rPr>
              <w:t>3</w:t>
            </w:r>
          </w:p>
        </w:tc>
        <w:tc>
          <w:tcPr>
            <w:tcW w:w="174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0507D4FE" w14:textId="77777777" w:rsidR="00261D9D" w:rsidRDefault="00261D9D">
            <w:pPr>
              <w:spacing w:line="260" w:lineRule="auto"/>
            </w:pPr>
            <w:r>
              <w:rPr>
                <w:b/>
                <w:bCs/>
                <w:sz w:val="18"/>
                <w:szCs w:val="18"/>
              </w:rPr>
              <w:t>Governance: Autonomous Systems Officer</w:t>
            </w:r>
          </w:p>
        </w:tc>
        <w:tc>
          <w:tcPr>
            <w:tcW w:w="5953"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882D83C" w14:textId="5B011D12" w:rsidR="00261D9D" w:rsidRDefault="00261D9D">
            <w:pPr>
              <w:spacing w:line="260" w:lineRule="auto"/>
            </w:pPr>
            <w:r>
              <w:rPr>
                <w:sz w:val="18"/>
                <w:szCs w:val="18"/>
              </w:rPr>
              <w:t xml:space="preserve">An ASO is appointed and named on file, sitting within Group Risk / Data Protection and reporting jointly to the Head of WPS Technology and the DIFC entity's data protection function. Competency mapping against DPO status under Articles 17–18 of the DIFC Data Protection Law reviewed and found complete. Quarterly DPIA/risk-review minutes on file for Q1 and Q2 2026. </w:t>
            </w:r>
          </w:p>
        </w:tc>
        <w:tc>
          <w:tcPr>
            <w:tcW w:w="1431" w:type="dxa"/>
            <w:tcBorders>
              <w:top w:val="single" w:sz="4" w:space="0" w:color="D9D9D9"/>
              <w:left w:val="single" w:sz="4" w:space="0" w:color="D9D9D9"/>
              <w:bottom w:val="single" w:sz="4" w:space="0" w:color="D9D9D9"/>
              <w:right w:val="single" w:sz="4" w:space="0" w:color="D9D9D9"/>
            </w:tcBorders>
            <w:shd w:val="clear" w:color="auto" w:fill="FFFFFF"/>
          </w:tcPr>
          <w:p w14:paraId="09B33A37" w14:textId="1A62CA8C" w:rsidR="00261D9D" w:rsidRPr="00261D9D" w:rsidRDefault="00261D9D" w:rsidP="00261D9D">
            <w:pPr>
              <w:spacing w:line="260" w:lineRule="auto"/>
            </w:pPr>
            <w:r>
              <w:rPr>
                <w:sz w:val="18"/>
                <w:szCs w:val="18"/>
              </w:rPr>
              <w:t>AI model inventory entry, Extract A.</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EAE45F8" w14:textId="1A42A4A6" w:rsidR="00261D9D" w:rsidRDefault="00261D9D">
            <w:pPr>
              <w:shd w:val="clear" w:color="auto" w:fill="1E7B34"/>
              <w:spacing w:before="20" w:after="20"/>
              <w:jc w:val="center"/>
            </w:pPr>
            <w:r>
              <w:rPr>
                <w:b/>
                <w:bCs/>
                <w:color w:val="FFFFFF"/>
                <w:sz w:val="15"/>
                <w:szCs w:val="15"/>
              </w:rPr>
              <w:t>PASS</w:t>
            </w:r>
          </w:p>
        </w:tc>
      </w:tr>
      <w:tr w:rsidR="00261D9D" w14:paraId="6068429B"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59E0F08" w14:textId="77777777" w:rsidR="00261D9D" w:rsidRDefault="00261D9D">
            <w:pPr>
              <w:spacing w:line="260" w:lineRule="auto"/>
            </w:pPr>
            <w:r>
              <w:rPr>
                <w:sz w:val="18"/>
                <w:szCs w:val="18"/>
              </w:rPr>
              <w:t>4</w:t>
            </w:r>
          </w:p>
        </w:tc>
        <w:tc>
          <w:tcPr>
            <w:tcW w:w="1748"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BB3977F" w14:textId="77777777" w:rsidR="00261D9D" w:rsidRDefault="00261D9D">
            <w:pPr>
              <w:spacing w:line="260" w:lineRule="auto"/>
            </w:pPr>
            <w:r>
              <w:rPr>
                <w:b/>
                <w:bCs/>
                <w:sz w:val="18"/>
                <w:szCs w:val="18"/>
              </w:rPr>
              <w:t>Design-principles compliance</w:t>
            </w:r>
          </w:p>
        </w:tc>
        <w:tc>
          <w:tcPr>
            <w:tcW w:w="5953"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3C7CB10" w14:textId="69B3AAB7" w:rsidR="00261D9D" w:rsidRDefault="00261D9D">
            <w:pPr>
              <w:spacing w:line="260" w:lineRule="auto"/>
            </w:pPr>
            <w:r>
              <w:rPr>
                <w:sz w:val="18"/>
                <w:szCs w:val="18"/>
              </w:rPr>
              <w:t xml:space="preserve">Design review sign-off reviewed against each Regulation 10.3 principle: no protected characteristic used as a model feature (fair); flagging logic explainable via SHAP-based attribution (transparent); batch handling encrypted end-to-end with role-based access (secure); named ASO and escalation owner on record (accountable). </w:t>
            </w:r>
          </w:p>
        </w:tc>
        <w:tc>
          <w:tcPr>
            <w:tcW w:w="1431" w:type="dxa"/>
            <w:tcBorders>
              <w:top w:val="single" w:sz="4" w:space="0" w:color="D9D9D9"/>
              <w:left w:val="single" w:sz="4" w:space="0" w:color="D9D9D9"/>
              <w:bottom w:val="single" w:sz="4" w:space="0" w:color="D9D9D9"/>
              <w:right w:val="single" w:sz="4" w:space="0" w:color="D9D9D9"/>
            </w:tcBorders>
            <w:shd w:val="clear" w:color="auto" w:fill="FBF3F3"/>
          </w:tcPr>
          <w:p w14:paraId="45BF3202" w14:textId="065443A4" w:rsidR="00261D9D" w:rsidRPr="00261D9D" w:rsidRDefault="00261D9D" w:rsidP="00261D9D">
            <w:pPr>
              <w:spacing w:line="260" w:lineRule="auto"/>
            </w:pPr>
            <w:r>
              <w:rPr>
                <w:sz w:val="18"/>
                <w:szCs w:val="18"/>
              </w:rPr>
              <w:t>Part 1, Section 2.</w:t>
            </w: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62C5FC2D" w14:textId="3BCD1584" w:rsidR="00261D9D" w:rsidRDefault="00261D9D">
            <w:pPr>
              <w:shd w:val="clear" w:color="auto" w:fill="1E7B34"/>
              <w:spacing w:before="20" w:after="20"/>
              <w:jc w:val="center"/>
            </w:pPr>
            <w:r>
              <w:rPr>
                <w:b/>
                <w:bCs/>
                <w:color w:val="FFFFFF"/>
                <w:sz w:val="15"/>
                <w:szCs w:val="15"/>
              </w:rPr>
              <w:t>PASS</w:t>
            </w:r>
          </w:p>
        </w:tc>
      </w:tr>
      <w:tr w:rsidR="00261D9D" w14:paraId="3326D175"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AD0229B" w14:textId="77777777" w:rsidR="00261D9D" w:rsidRDefault="00261D9D">
            <w:pPr>
              <w:spacing w:line="260" w:lineRule="auto"/>
            </w:pPr>
            <w:r>
              <w:rPr>
                <w:sz w:val="18"/>
                <w:szCs w:val="18"/>
              </w:rPr>
              <w:t>5</w:t>
            </w:r>
          </w:p>
        </w:tc>
        <w:tc>
          <w:tcPr>
            <w:tcW w:w="174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DCC562C" w14:textId="77777777" w:rsidR="00261D9D" w:rsidRDefault="00261D9D">
            <w:pPr>
              <w:spacing w:line="260" w:lineRule="auto"/>
            </w:pPr>
            <w:r>
              <w:rPr>
                <w:b/>
                <w:bCs/>
                <w:sz w:val="18"/>
                <w:szCs w:val="18"/>
              </w:rPr>
              <w:t>Human intervention &amp; fairness controls</w:t>
            </w:r>
          </w:p>
        </w:tc>
        <w:tc>
          <w:tcPr>
            <w:tcW w:w="5953"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312A2DC" w14:textId="67C09B06" w:rsidR="00261D9D" w:rsidRDefault="00261D9D">
            <w:pPr>
              <w:spacing w:line="260" w:lineRule="auto"/>
            </w:pPr>
            <w:r>
              <w:rPr>
                <w:sz w:val="18"/>
                <w:szCs w:val="18"/>
              </w:rPr>
              <w:t xml:space="preserve">Threshold logic tested: any batch scoring above 0.72 routes automatically to mandatory human review; no batch was auto-rejected without sign-off across the 126 test runs sampled. Disparate-impact testing </w:t>
            </w:r>
            <w:proofErr w:type="gramStart"/>
            <w:r>
              <w:rPr>
                <w:sz w:val="18"/>
                <w:szCs w:val="18"/>
              </w:rPr>
              <w:t>run</w:t>
            </w:r>
            <w:proofErr w:type="gramEnd"/>
            <w:r>
              <w:rPr>
                <w:sz w:val="18"/>
                <w:szCs w:val="18"/>
              </w:rPr>
              <w:t xml:space="preserve"> 21 July 2026 with no statistically significant disparity detected. </w:t>
            </w:r>
          </w:p>
        </w:tc>
        <w:tc>
          <w:tcPr>
            <w:tcW w:w="1431" w:type="dxa"/>
            <w:tcBorders>
              <w:top w:val="single" w:sz="4" w:space="0" w:color="D9D9D9"/>
              <w:left w:val="single" w:sz="4" w:space="0" w:color="D9D9D9"/>
              <w:bottom w:val="single" w:sz="4" w:space="0" w:color="D9D9D9"/>
              <w:right w:val="single" w:sz="4" w:space="0" w:color="D9D9D9"/>
            </w:tcBorders>
            <w:shd w:val="clear" w:color="auto" w:fill="FFFFFF"/>
          </w:tcPr>
          <w:p w14:paraId="1C2835C1" w14:textId="6B13301E" w:rsidR="00261D9D" w:rsidRPr="00261D9D" w:rsidRDefault="00261D9D" w:rsidP="00261D9D">
            <w:pPr>
              <w:spacing w:line="260" w:lineRule="auto"/>
            </w:pPr>
            <w:r>
              <w:rPr>
                <w:sz w:val="18"/>
                <w:szCs w:val="18"/>
              </w:rPr>
              <w:t xml:space="preserve">Vector Performance, Human Oversight &amp; Fairness rows; Extract </w:t>
            </w:r>
            <w:proofErr w:type="gramStart"/>
            <w:r>
              <w:rPr>
                <w:sz w:val="18"/>
                <w:szCs w:val="18"/>
              </w:rPr>
              <w:t>B;C.</w:t>
            </w:r>
            <w:proofErr w:type="gramEnd"/>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CFEB9B2" w14:textId="52EE5463" w:rsidR="00261D9D" w:rsidRDefault="00261D9D">
            <w:pPr>
              <w:shd w:val="clear" w:color="auto" w:fill="1E7B34"/>
              <w:spacing w:before="20" w:after="20"/>
              <w:jc w:val="center"/>
            </w:pPr>
            <w:r>
              <w:rPr>
                <w:b/>
                <w:bCs/>
                <w:color w:val="FFFFFF"/>
                <w:sz w:val="15"/>
                <w:szCs w:val="15"/>
              </w:rPr>
              <w:t>PASS</w:t>
            </w:r>
          </w:p>
        </w:tc>
      </w:tr>
      <w:tr w:rsidR="00261D9D" w14:paraId="39A2DB05"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33E4FA4" w14:textId="77777777" w:rsidR="00261D9D" w:rsidRDefault="00261D9D">
            <w:pPr>
              <w:spacing w:line="260" w:lineRule="auto"/>
            </w:pPr>
            <w:r>
              <w:rPr>
                <w:sz w:val="18"/>
                <w:szCs w:val="18"/>
              </w:rPr>
              <w:t>6</w:t>
            </w:r>
          </w:p>
        </w:tc>
        <w:tc>
          <w:tcPr>
            <w:tcW w:w="1748"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38823420" w14:textId="77777777" w:rsidR="00261D9D" w:rsidRDefault="00261D9D">
            <w:pPr>
              <w:spacing w:line="260" w:lineRule="auto"/>
            </w:pPr>
            <w:r>
              <w:rPr>
                <w:b/>
                <w:bCs/>
                <w:sz w:val="18"/>
                <w:szCs w:val="18"/>
              </w:rPr>
              <w:t>Transparency notices</w:t>
            </w:r>
          </w:p>
        </w:tc>
        <w:tc>
          <w:tcPr>
            <w:tcW w:w="5953"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6167887" w14:textId="6FDAA161" w:rsidR="00261D9D" w:rsidRDefault="00261D9D">
            <w:pPr>
              <w:spacing w:line="260" w:lineRule="auto"/>
            </w:pPr>
            <w:r>
              <w:rPr>
                <w:sz w:val="18"/>
                <w:szCs w:val="18"/>
              </w:rPr>
              <w:t xml:space="preserve">The employer-facing WPS onboarding pack and the employee-facing payment notice were both reviewed and confirmed to disclose automated pre-release screening and the escalation channel for requesting human review. </w:t>
            </w:r>
          </w:p>
        </w:tc>
        <w:tc>
          <w:tcPr>
            <w:tcW w:w="1431" w:type="dxa"/>
            <w:tcBorders>
              <w:top w:val="single" w:sz="4" w:space="0" w:color="D9D9D9"/>
              <w:left w:val="single" w:sz="4" w:space="0" w:color="D9D9D9"/>
              <w:bottom w:val="single" w:sz="4" w:space="0" w:color="D9D9D9"/>
              <w:right w:val="single" w:sz="4" w:space="0" w:color="D9D9D9"/>
            </w:tcBorders>
            <w:shd w:val="clear" w:color="auto" w:fill="FBF3F3"/>
          </w:tcPr>
          <w:p w14:paraId="7F7D10C5" w14:textId="517425CA" w:rsidR="00261D9D" w:rsidRPr="00261D9D" w:rsidRDefault="00261D9D" w:rsidP="00261D9D">
            <w:pPr>
              <w:spacing w:line="260" w:lineRule="auto"/>
            </w:pPr>
            <w:r>
              <w:rPr>
                <w:sz w:val="18"/>
                <w:szCs w:val="18"/>
              </w:rPr>
              <w:t>Vector Performance, Transparency row.</w:t>
            </w: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571AC921" w14:textId="4DA2F425" w:rsidR="00261D9D" w:rsidRDefault="00261D9D">
            <w:pPr>
              <w:shd w:val="clear" w:color="auto" w:fill="1E7B34"/>
              <w:spacing w:before="20" w:after="20"/>
              <w:jc w:val="center"/>
            </w:pPr>
            <w:r>
              <w:rPr>
                <w:b/>
                <w:bCs/>
                <w:color w:val="FFFFFF"/>
                <w:sz w:val="15"/>
                <w:szCs w:val="15"/>
              </w:rPr>
              <w:t>PASS</w:t>
            </w:r>
          </w:p>
        </w:tc>
      </w:tr>
      <w:tr w:rsidR="00261D9D" w14:paraId="04DE84A0"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7B9151A" w14:textId="77777777" w:rsidR="00261D9D" w:rsidRDefault="00261D9D">
            <w:pPr>
              <w:spacing w:line="260" w:lineRule="auto"/>
            </w:pPr>
            <w:r>
              <w:rPr>
                <w:sz w:val="18"/>
                <w:szCs w:val="18"/>
              </w:rPr>
              <w:t>7</w:t>
            </w:r>
          </w:p>
        </w:tc>
        <w:tc>
          <w:tcPr>
            <w:tcW w:w="174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26B4875" w14:textId="77777777" w:rsidR="00261D9D" w:rsidRDefault="00261D9D">
            <w:pPr>
              <w:spacing w:line="260" w:lineRule="auto"/>
            </w:pPr>
            <w:r>
              <w:rPr>
                <w:b/>
                <w:bCs/>
                <w:sz w:val="18"/>
                <w:szCs w:val="18"/>
              </w:rPr>
              <w:t>Certification evidence (High Risk Processing)</w:t>
            </w:r>
          </w:p>
        </w:tc>
        <w:tc>
          <w:tcPr>
            <w:tcW w:w="5953"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8C78B50" w14:textId="33217F8E" w:rsidR="00261D9D" w:rsidRDefault="00261D9D">
            <w:pPr>
              <w:spacing w:line="260" w:lineRule="auto"/>
            </w:pPr>
            <w:r>
              <w:rPr>
                <w:sz w:val="18"/>
                <w:szCs w:val="18"/>
              </w:rPr>
              <w:t xml:space="preserve">Certification engagement with a DIFC-accredited certification body verified on file. Audit scope covers </w:t>
            </w:r>
            <w:proofErr w:type="spellStart"/>
            <w:r>
              <w:rPr>
                <w:sz w:val="18"/>
                <w:szCs w:val="18"/>
              </w:rPr>
              <w:t>wps</w:t>
            </w:r>
            <w:proofErr w:type="spellEnd"/>
            <w:r>
              <w:rPr>
                <w:sz w:val="18"/>
                <w:szCs w:val="18"/>
              </w:rPr>
              <w:t xml:space="preserve">-salary-anomaly-agent as an in-scope High Risk Processing system. Certificate reference current, valid to 14 January 2027. </w:t>
            </w:r>
          </w:p>
        </w:tc>
        <w:tc>
          <w:tcPr>
            <w:tcW w:w="1431" w:type="dxa"/>
            <w:tcBorders>
              <w:top w:val="single" w:sz="4" w:space="0" w:color="D9D9D9"/>
              <w:left w:val="single" w:sz="4" w:space="0" w:color="D9D9D9"/>
              <w:bottom w:val="single" w:sz="4" w:space="0" w:color="D9D9D9"/>
              <w:right w:val="single" w:sz="4" w:space="0" w:color="D9D9D9"/>
            </w:tcBorders>
            <w:shd w:val="clear" w:color="auto" w:fill="FFFFFF"/>
          </w:tcPr>
          <w:p w14:paraId="27145B79" w14:textId="39920DA0" w:rsidR="00261D9D" w:rsidRPr="00261D9D" w:rsidRDefault="00261D9D" w:rsidP="00261D9D">
            <w:pPr>
              <w:spacing w:line="260" w:lineRule="auto"/>
            </w:pPr>
            <w:r>
              <w:rPr>
                <w:sz w:val="18"/>
                <w:szCs w:val="18"/>
              </w:rPr>
              <w:t>Vector Performance, Certification row.</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A3881F6" w14:textId="7BF953E4" w:rsidR="00261D9D" w:rsidRDefault="00261D9D">
            <w:pPr>
              <w:shd w:val="clear" w:color="auto" w:fill="1E7B34"/>
              <w:spacing w:before="20" w:after="20"/>
              <w:jc w:val="center"/>
            </w:pPr>
            <w:r>
              <w:rPr>
                <w:b/>
                <w:bCs/>
                <w:color w:val="FFFFFF"/>
                <w:sz w:val="15"/>
                <w:szCs w:val="15"/>
              </w:rPr>
              <w:t>PASS</w:t>
            </w:r>
          </w:p>
        </w:tc>
      </w:tr>
      <w:tr w:rsidR="00261D9D" w14:paraId="3231B988"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6792A1D3" w14:textId="77777777" w:rsidR="00261D9D" w:rsidRDefault="00261D9D">
            <w:pPr>
              <w:spacing w:line="260" w:lineRule="auto"/>
            </w:pPr>
            <w:r>
              <w:rPr>
                <w:sz w:val="18"/>
                <w:szCs w:val="18"/>
              </w:rPr>
              <w:t>8</w:t>
            </w:r>
          </w:p>
        </w:tc>
        <w:tc>
          <w:tcPr>
            <w:tcW w:w="1748"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F57023A" w14:textId="77777777" w:rsidR="00261D9D" w:rsidRDefault="00261D9D">
            <w:pPr>
              <w:spacing w:line="260" w:lineRule="auto"/>
            </w:pPr>
            <w:r>
              <w:rPr>
                <w:b/>
                <w:bCs/>
                <w:sz w:val="18"/>
                <w:szCs w:val="18"/>
              </w:rPr>
              <w:t>AI register entry</w:t>
            </w:r>
          </w:p>
        </w:tc>
        <w:tc>
          <w:tcPr>
            <w:tcW w:w="5953"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7FD5E76" w14:textId="3E52116C" w:rsidR="00261D9D" w:rsidRDefault="00261D9D">
            <w:pPr>
              <w:spacing w:line="260" w:lineRule="auto"/>
            </w:pPr>
            <w:r>
              <w:rPr>
                <w:sz w:val="18"/>
                <w:szCs w:val="18"/>
              </w:rPr>
              <w:t xml:space="preserve">The Deployer/Operator's AI register entry reviewed and found complete: name, purpose, High Risk Processing classification, actor roles held, and current certification status, last updated 28 July 2026. </w:t>
            </w:r>
          </w:p>
        </w:tc>
        <w:tc>
          <w:tcPr>
            <w:tcW w:w="1431" w:type="dxa"/>
            <w:tcBorders>
              <w:top w:val="single" w:sz="4" w:space="0" w:color="D9D9D9"/>
              <w:left w:val="single" w:sz="4" w:space="0" w:color="D9D9D9"/>
              <w:bottom w:val="single" w:sz="4" w:space="0" w:color="D9D9D9"/>
              <w:right w:val="single" w:sz="4" w:space="0" w:color="D9D9D9"/>
            </w:tcBorders>
            <w:shd w:val="clear" w:color="auto" w:fill="FBF3F3"/>
          </w:tcPr>
          <w:p w14:paraId="27FBDB40" w14:textId="7E592E4C" w:rsidR="00261D9D" w:rsidRPr="00261D9D" w:rsidRDefault="00261D9D" w:rsidP="00261D9D">
            <w:pPr>
              <w:spacing w:line="260" w:lineRule="auto"/>
            </w:pPr>
            <w:r>
              <w:rPr>
                <w:sz w:val="18"/>
                <w:szCs w:val="18"/>
              </w:rPr>
              <w:t>Extract A.</w:t>
            </w: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5E1DA437" w14:textId="5305FE5B" w:rsidR="00261D9D" w:rsidRDefault="00261D9D">
            <w:pPr>
              <w:shd w:val="clear" w:color="auto" w:fill="1E7B34"/>
              <w:spacing w:before="20" w:after="20"/>
              <w:jc w:val="center"/>
            </w:pPr>
            <w:r>
              <w:rPr>
                <w:b/>
                <w:bCs/>
                <w:color w:val="FFFFFF"/>
                <w:sz w:val="15"/>
                <w:szCs w:val="15"/>
              </w:rPr>
              <w:t>PASS</w:t>
            </w:r>
          </w:p>
        </w:tc>
      </w:tr>
      <w:tr w:rsidR="00261D9D" w14:paraId="2B5C124D" w14:textId="77777777" w:rsidTr="00261D9D">
        <w:tc>
          <w:tcPr>
            <w:tcW w:w="374"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8A7714C" w14:textId="77777777" w:rsidR="00261D9D" w:rsidRDefault="00261D9D">
            <w:pPr>
              <w:spacing w:line="260" w:lineRule="auto"/>
            </w:pPr>
            <w:r>
              <w:rPr>
                <w:sz w:val="18"/>
                <w:szCs w:val="18"/>
              </w:rPr>
              <w:t>9</w:t>
            </w:r>
          </w:p>
        </w:tc>
        <w:tc>
          <w:tcPr>
            <w:tcW w:w="174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0AB230C0" w14:textId="77777777" w:rsidR="00261D9D" w:rsidRDefault="00261D9D">
            <w:pPr>
              <w:spacing w:line="260" w:lineRule="auto"/>
            </w:pPr>
            <w:r>
              <w:rPr>
                <w:b/>
                <w:bCs/>
                <w:sz w:val="18"/>
                <w:szCs w:val="18"/>
              </w:rPr>
              <w:t>Ongoing monitoring &amp; re-certification plan</w:t>
            </w:r>
          </w:p>
        </w:tc>
        <w:tc>
          <w:tcPr>
            <w:tcW w:w="5953"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104FBCE" w14:textId="7F18EC5F" w:rsidR="00261D9D" w:rsidRDefault="00261D9D">
            <w:pPr>
              <w:spacing w:line="260" w:lineRule="auto"/>
            </w:pPr>
            <w:r>
              <w:rPr>
                <w:sz w:val="18"/>
                <w:szCs w:val="18"/>
              </w:rPr>
              <w:t xml:space="preserve">Quarterly re-assessment cadence documented and active, with an additional conformity-impact review trigger on any model, prompt or threshold change. Most recent triggered review (2 July 2026) on file. </w:t>
            </w:r>
          </w:p>
        </w:tc>
        <w:tc>
          <w:tcPr>
            <w:tcW w:w="1431" w:type="dxa"/>
            <w:tcBorders>
              <w:top w:val="single" w:sz="4" w:space="0" w:color="D9D9D9"/>
              <w:left w:val="single" w:sz="4" w:space="0" w:color="D9D9D9"/>
              <w:bottom w:val="single" w:sz="4" w:space="0" w:color="D9D9D9"/>
              <w:right w:val="single" w:sz="4" w:space="0" w:color="D9D9D9"/>
            </w:tcBorders>
            <w:shd w:val="clear" w:color="auto" w:fill="FFFFFF"/>
          </w:tcPr>
          <w:p w14:paraId="0062CFEE" w14:textId="3DFBC748" w:rsidR="00261D9D" w:rsidRPr="00261D9D" w:rsidRDefault="00261D9D" w:rsidP="00261D9D">
            <w:pPr>
              <w:spacing w:line="260" w:lineRule="auto"/>
            </w:pPr>
            <w:r>
              <w:rPr>
                <w:sz w:val="18"/>
                <w:szCs w:val="18"/>
              </w:rPr>
              <w:t>Part 1, Section 9 (Post-market monitoring plan).</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73D07AB" w14:textId="0416F933" w:rsidR="00261D9D" w:rsidRDefault="00261D9D">
            <w:pPr>
              <w:shd w:val="clear" w:color="auto" w:fill="1E7B34"/>
              <w:spacing w:before="20" w:after="20"/>
              <w:jc w:val="center"/>
            </w:pPr>
            <w:r>
              <w:rPr>
                <w:b/>
                <w:bCs/>
                <w:color w:val="FFFFFF"/>
                <w:sz w:val="15"/>
                <w:szCs w:val="15"/>
              </w:rPr>
              <w:t>PASS</w:t>
            </w:r>
          </w:p>
        </w:tc>
      </w:tr>
    </w:tbl>
    <w:p w14:paraId="0636CC06" w14:textId="77777777" w:rsidR="0089136F" w:rsidRDefault="00000000">
      <w:r>
        <w:br w:type="page"/>
      </w:r>
    </w:p>
    <w:p w14:paraId="7F3DB08F" w14:textId="77777777" w:rsidR="0089136F" w:rsidRDefault="00000000">
      <w:pPr>
        <w:spacing w:after="60"/>
      </w:pPr>
      <w:r>
        <w:rPr>
          <w:b/>
          <w:bCs/>
          <w:color w:val="AA0605"/>
          <w:spacing w:val="20"/>
          <w:sz w:val="16"/>
          <w:szCs w:val="16"/>
        </w:rPr>
        <w:lastRenderedPageBreak/>
        <w:t>PART 3 OF 3 — REGULATORY MAPPING</w:t>
      </w:r>
    </w:p>
    <w:p w14:paraId="7CAB487E" w14:textId="77777777" w:rsidR="0089136F" w:rsidRDefault="00000000">
      <w:pPr>
        <w:pStyle w:val="Heading1"/>
        <w:pBdr>
          <w:bottom w:val="single" w:sz="6" w:space="6" w:color="AA0605"/>
        </w:pBdr>
        <w:spacing w:before="240" w:after="160"/>
      </w:pPr>
      <w:r>
        <w:rPr>
          <w:b/>
          <w:bCs/>
          <w:color w:val="1F1F1F"/>
          <w:sz w:val="30"/>
          <w:szCs w:val="30"/>
        </w:rPr>
        <w:t>CBUAE AI/ML Guidance Note — assessment findings</w:t>
      </w: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
        <w:gridCol w:w="1560"/>
        <w:gridCol w:w="6095"/>
        <w:gridCol w:w="1434"/>
        <w:gridCol w:w="731"/>
      </w:tblGrid>
      <w:tr w:rsidR="00261D9D" w14:paraId="4E838B5A" w14:textId="77777777" w:rsidTr="00261D9D">
        <w:trPr>
          <w:tblHeader/>
        </w:trPr>
        <w:tc>
          <w:tcPr>
            <w:tcW w:w="42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52091537" w14:textId="77777777" w:rsidR="00261D9D" w:rsidRDefault="00261D9D">
            <w:r>
              <w:rPr>
                <w:b/>
                <w:bCs/>
                <w:color w:val="FFFFFF"/>
                <w:sz w:val="18"/>
                <w:szCs w:val="18"/>
              </w:rPr>
              <w:t>#</w:t>
            </w:r>
          </w:p>
        </w:tc>
        <w:tc>
          <w:tcPr>
            <w:tcW w:w="156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417FBA2B" w14:textId="77777777" w:rsidR="00261D9D" w:rsidRDefault="00261D9D">
            <w:r>
              <w:rPr>
                <w:b/>
                <w:bCs/>
                <w:color w:val="FFFFFF"/>
                <w:sz w:val="18"/>
                <w:szCs w:val="18"/>
              </w:rPr>
              <w:t>Section (CBUAE numbering)</w:t>
            </w:r>
          </w:p>
        </w:tc>
        <w:tc>
          <w:tcPr>
            <w:tcW w:w="6095"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5C15DFA2" w14:textId="77777777" w:rsidR="00261D9D" w:rsidRDefault="00261D9D">
            <w:r>
              <w:rPr>
                <w:b/>
                <w:bCs/>
                <w:color w:val="FFFFFF"/>
                <w:sz w:val="18"/>
                <w:szCs w:val="18"/>
              </w:rPr>
              <w:t>Assessment finding</w:t>
            </w:r>
          </w:p>
        </w:tc>
        <w:tc>
          <w:tcPr>
            <w:tcW w:w="1434" w:type="dxa"/>
            <w:tcBorders>
              <w:top w:val="single" w:sz="4" w:space="0" w:color="D9D9D9"/>
              <w:left w:val="single" w:sz="4" w:space="0" w:color="D9D9D9"/>
              <w:bottom w:val="single" w:sz="4" w:space="0" w:color="D9D9D9"/>
              <w:right w:val="single" w:sz="4" w:space="0" w:color="D9D9D9"/>
            </w:tcBorders>
            <w:shd w:val="clear" w:color="auto" w:fill="AA0605"/>
          </w:tcPr>
          <w:p w14:paraId="521D10E4" w14:textId="6AB313B2" w:rsidR="00261D9D" w:rsidRDefault="00261D9D">
            <w:pPr>
              <w:rPr>
                <w:b/>
                <w:bCs/>
                <w:color w:val="FFFFFF"/>
                <w:sz w:val="18"/>
                <w:szCs w:val="18"/>
              </w:rPr>
            </w:pPr>
            <w:r>
              <w:rPr>
                <w:b/>
                <w:bCs/>
                <w:color w:val="FFFFFF"/>
                <w:sz w:val="18"/>
                <w:szCs w:val="18"/>
              </w:rPr>
              <w:t>Evidence</w:t>
            </w:r>
          </w:p>
        </w:tc>
        <w:tc>
          <w:tcPr>
            <w:tcW w:w="731"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4E3125CA" w14:textId="7F895209" w:rsidR="00261D9D" w:rsidRDefault="00261D9D">
            <w:r>
              <w:rPr>
                <w:b/>
                <w:bCs/>
                <w:color w:val="FFFFFF"/>
                <w:sz w:val="18"/>
                <w:szCs w:val="18"/>
              </w:rPr>
              <w:t>Status</w:t>
            </w:r>
          </w:p>
        </w:tc>
      </w:tr>
      <w:tr w:rsidR="00261D9D" w14:paraId="48D958DB"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2785D4C9" w14:textId="77777777" w:rsidR="00261D9D" w:rsidRDefault="00261D9D">
            <w:pPr>
              <w:spacing w:line="260" w:lineRule="auto"/>
            </w:pPr>
            <w:r>
              <w:rPr>
                <w:sz w:val="18"/>
                <w:szCs w:val="18"/>
              </w:rPr>
              <w:t>1</w:t>
            </w:r>
          </w:p>
        </w:tc>
        <w:tc>
          <w:tcPr>
            <w:tcW w:w="156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440FBBC" w14:textId="77777777" w:rsidR="00261D9D" w:rsidRDefault="00261D9D">
            <w:pPr>
              <w:spacing w:line="260" w:lineRule="auto"/>
            </w:pPr>
            <w:r>
              <w:rPr>
                <w:b/>
                <w:bCs/>
                <w:sz w:val="18"/>
                <w:szCs w:val="18"/>
              </w:rPr>
              <w:t>Definitions</w:t>
            </w:r>
          </w:p>
        </w:tc>
        <w:tc>
          <w:tcPr>
            <w:tcW w:w="6095"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C063788" w14:textId="7E41AFDF" w:rsidR="00261D9D" w:rsidRDefault="00261D9D">
            <w:pPr>
              <w:spacing w:line="260" w:lineRule="auto"/>
            </w:pPr>
            <w:proofErr w:type="spellStart"/>
            <w:r>
              <w:rPr>
                <w:sz w:val="18"/>
                <w:szCs w:val="18"/>
              </w:rPr>
              <w:t>wps</w:t>
            </w:r>
            <w:proofErr w:type="spellEnd"/>
            <w:r>
              <w:rPr>
                <w:sz w:val="18"/>
                <w:szCs w:val="18"/>
              </w:rPr>
              <w:t xml:space="preserve">-salary-anomaly-agent confirmed in scope as an AI/ML system under the Guidance Note's definitions: it applies a learned anomaly-scoring model to WPS batch data, rather than operating as a fixed rules engine alone. </w:t>
            </w:r>
          </w:p>
        </w:tc>
        <w:tc>
          <w:tcPr>
            <w:tcW w:w="1434" w:type="dxa"/>
            <w:tcBorders>
              <w:top w:val="single" w:sz="4" w:space="0" w:color="D9D9D9"/>
              <w:left w:val="single" w:sz="4" w:space="0" w:color="D9D9D9"/>
              <w:bottom w:val="single" w:sz="4" w:space="0" w:color="D9D9D9"/>
              <w:right w:val="single" w:sz="4" w:space="0" w:color="D9D9D9"/>
            </w:tcBorders>
            <w:shd w:val="clear" w:color="auto" w:fill="FFFFFF"/>
          </w:tcPr>
          <w:p w14:paraId="51F906DD" w14:textId="7B22B9E0" w:rsidR="00261D9D" w:rsidRPr="00261D9D" w:rsidRDefault="00261D9D" w:rsidP="00261D9D">
            <w:pPr>
              <w:spacing w:line="260" w:lineRule="auto"/>
              <w:rPr>
                <w:sz w:val="18"/>
                <w:szCs w:val="18"/>
              </w:rPr>
            </w:pPr>
            <w:r>
              <w:rPr>
                <w:sz w:val="18"/>
                <w:szCs w:val="18"/>
              </w:rPr>
              <w:t>Part 1, Section 1.</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58D4D3F" w14:textId="401DCAC7" w:rsidR="00261D9D" w:rsidRDefault="00261D9D">
            <w:pPr>
              <w:shd w:val="clear" w:color="auto" w:fill="1E7B34"/>
              <w:spacing w:before="20" w:after="20"/>
              <w:jc w:val="center"/>
            </w:pPr>
            <w:r>
              <w:rPr>
                <w:b/>
                <w:bCs/>
                <w:color w:val="FFFFFF"/>
                <w:sz w:val="15"/>
                <w:szCs w:val="15"/>
              </w:rPr>
              <w:t>PASS</w:t>
            </w:r>
          </w:p>
        </w:tc>
      </w:tr>
      <w:tr w:rsidR="00261D9D" w14:paraId="65EECB2F"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5532A3D9" w14:textId="77777777" w:rsidR="00261D9D" w:rsidRDefault="00261D9D">
            <w:pPr>
              <w:spacing w:line="260" w:lineRule="auto"/>
            </w:pPr>
            <w:r>
              <w:rPr>
                <w:sz w:val="18"/>
                <w:szCs w:val="18"/>
              </w:rPr>
              <w:t>2</w:t>
            </w:r>
          </w:p>
        </w:tc>
        <w:tc>
          <w:tcPr>
            <w:tcW w:w="156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2C490F4" w14:textId="77777777" w:rsidR="00261D9D" w:rsidRDefault="00261D9D">
            <w:pPr>
              <w:spacing w:line="260" w:lineRule="auto"/>
            </w:pPr>
            <w:r>
              <w:rPr>
                <w:b/>
                <w:bCs/>
                <w:sz w:val="18"/>
                <w:szCs w:val="18"/>
              </w:rPr>
              <w:t>Governance and Accountability</w:t>
            </w:r>
          </w:p>
        </w:tc>
        <w:tc>
          <w:tcPr>
            <w:tcW w:w="6095"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9F9A14E" w14:textId="6CF09B92" w:rsidR="00261D9D" w:rsidRDefault="00261D9D">
            <w:pPr>
              <w:spacing w:line="260" w:lineRule="auto"/>
            </w:pPr>
            <w:r>
              <w:rPr>
                <w:sz w:val="18"/>
                <w:szCs w:val="18"/>
              </w:rPr>
              <w:t xml:space="preserve">Documented governance framework proportionate to size and risk reviewed. The system's entry in the firm-wide AI model inventory carries the required minimum metadata — name, purpose, risk rating (High) — and quarterly Board AI-risk MI confirmed to include this system for Q1 and Q2 2026. </w:t>
            </w:r>
          </w:p>
        </w:tc>
        <w:tc>
          <w:tcPr>
            <w:tcW w:w="1434" w:type="dxa"/>
            <w:tcBorders>
              <w:top w:val="single" w:sz="4" w:space="0" w:color="D9D9D9"/>
              <w:left w:val="single" w:sz="4" w:space="0" w:color="D9D9D9"/>
              <w:bottom w:val="single" w:sz="4" w:space="0" w:color="D9D9D9"/>
              <w:right w:val="single" w:sz="4" w:space="0" w:color="D9D9D9"/>
            </w:tcBorders>
            <w:shd w:val="clear" w:color="auto" w:fill="FBF3F3"/>
          </w:tcPr>
          <w:p w14:paraId="7E7FA02C" w14:textId="3D547A9D" w:rsidR="00261D9D" w:rsidRPr="00261D9D" w:rsidRDefault="00261D9D" w:rsidP="00261D9D">
            <w:pPr>
              <w:spacing w:line="260" w:lineRule="auto"/>
              <w:rPr>
                <w:sz w:val="18"/>
                <w:szCs w:val="18"/>
              </w:rPr>
            </w:pPr>
            <w:r>
              <w:rPr>
                <w:sz w:val="18"/>
                <w:szCs w:val="18"/>
              </w:rPr>
              <w:t>Extract A.</w:t>
            </w: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8ADFDD0" w14:textId="59892C91" w:rsidR="00261D9D" w:rsidRDefault="00261D9D">
            <w:pPr>
              <w:shd w:val="clear" w:color="auto" w:fill="1E7B34"/>
              <w:spacing w:before="20" w:after="20"/>
              <w:jc w:val="center"/>
            </w:pPr>
            <w:r>
              <w:rPr>
                <w:b/>
                <w:bCs/>
                <w:color w:val="FFFFFF"/>
                <w:sz w:val="15"/>
                <w:szCs w:val="15"/>
              </w:rPr>
              <w:t>PASS</w:t>
            </w:r>
          </w:p>
        </w:tc>
      </w:tr>
      <w:tr w:rsidR="00261D9D" w14:paraId="77E57854"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4F5B3E0" w14:textId="77777777" w:rsidR="00261D9D" w:rsidRDefault="00261D9D">
            <w:pPr>
              <w:spacing w:line="260" w:lineRule="auto"/>
            </w:pPr>
            <w:r>
              <w:rPr>
                <w:sz w:val="18"/>
                <w:szCs w:val="18"/>
              </w:rPr>
              <w:t>3</w:t>
            </w:r>
          </w:p>
        </w:tc>
        <w:tc>
          <w:tcPr>
            <w:tcW w:w="156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1025E22" w14:textId="77777777" w:rsidR="00261D9D" w:rsidRDefault="00261D9D">
            <w:pPr>
              <w:spacing w:line="260" w:lineRule="auto"/>
            </w:pPr>
            <w:r>
              <w:rPr>
                <w:b/>
                <w:bCs/>
                <w:sz w:val="18"/>
                <w:szCs w:val="18"/>
              </w:rPr>
              <w:t>Fairness / Non-Discrimination and Ethics</w:t>
            </w:r>
          </w:p>
        </w:tc>
        <w:tc>
          <w:tcPr>
            <w:tcW w:w="6095"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2E21C50" w14:textId="7EDF16C0" w:rsidR="00261D9D" w:rsidRDefault="00261D9D">
            <w:pPr>
              <w:spacing w:line="260" w:lineRule="auto"/>
            </w:pPr>
            <w:r>
              <w:rPr>
                <w:sz w:val="18"/>
                <w:szCs w:val="18"/>
              </w:rPr>
              <w:t xml:space="preserve">Bias testing reviewed for the most recent cycle (21 July 2026): flagging-rate ratios of 0.94 (employer size), 0.91 (workforce nationality bands) and 0.87 (sector), all against a minimum threshold of 0.80. </w:t>
            </w:r>
          </w:p>
        </w:tc>
        <w:tc>
          <w:tcPr>
            <w:tcW w:w="1434" w:type="dxa"/>
            <w:tcBorders>
              <w:top w:val="single" w:sz="4" w:space="0" w:color="D9D9D9"/>
              <w:left w:val="single" w:sz="4" w:space="0" w:color="D9D9D9"/>
              <w:bottom w:val="single" w:sz="4" w:space="0" w:color="D9D9D9"/>
              <w:right w:val="single" w:sz="4" w:space="0" w:color="D9D9D9"/>
            </w:tcBorders>
            <w:shd w:val="clear" w:color="auto" w:fill="FFFFFF"/>
          </w:tcPr>
          <w:p w14:paraId="43A6EBBD" w14:textId="15AF3DB5" w:rsidR="00261D9D" w:rsidRPr="00261D9D" w:rsidRDefault="00261D9D" w:rsidP="00261D9D">
            <w:pPr>
              <w:spacing w:line="260" w:lineRule="auto"/>
              <w:rPr>
                <w:sz w:val="18"/>
                <w:szCs w:val="18"/>
              </w:rPr>
            </w:pPr>
            <w:r>
              <w:rPr>
                <w:sz w:val="18"/>
                <w:szCs w:val="18"/>
              </w:rPr>
              <w:t>Extract B; Vector Performance, Fairness row.</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764FA5B" w14:textId="0130AE9A" w:rsidR="00261D9D" w:rsidRDefault="00261D9D">
            <w:pPr>
              <w:shd w:val="clear" w:color="auto" w:fill="1E7B34"/>
              <w:spacing w:before="20" w:after="20"/>
              <w:jc w:val="center"/>
            </w:pPr>
            <w:r>
              <w:rPr>
                <w:b/>
                <w:bCs/>
                <w:color w:val="FFFFFF"/>
                <w:sz w:val="15"/>
                <w:szCs w:val="15"/>
              </w:rPr>
              <w:t>PASS</w:t>
            </w:r>
          </w:p>
        </w:tc>
      </w:tr>
      <w:tr w:rsidR="00261D9D" w14:paraId="311DBF66"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394637B6" w14:textId="77777777" w:rsidR="00261D9D" w:rsidRDefault="00261D9D">
            <w:pPr>
              <w:spacing w:line="260" w:lineRule="auto"/>
            </w:pPr>
            <w:r>
              <w:rPr>
                <w:sz w:val="18"/>
                <w:szCs w:val="18"/>
              </w:rPr>
              <w:t>4</w:t>
            </w:r>
          </w:p>
        </w:tc>
        <w:tc>
          <w:tcPr>
            <w:tcW w:w="156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55D40B12" w14:textId="77777777" w:rsidR="00261D9D" w:rsidRDefault="00261D9D">
            <w:pPr>
              <w:spacing w:line="260" w:lineRule="auto"/>
            </w:pPr>
            <w:r>
              <w:rPr>
                <w:b/>
                <w:bCs/>
                <w:sz w:val="18"/>
                <w:szCs w:val="18"/>
              </w:rPr>
              <w:t>Transparency and Explainability</w:t>
            </w:r>
          </w:p>
        </w:tc>
        <w:tc>
          <w:tcPr>
            <w:tcW w:w="6095"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2B99618" w14:textId="1B895082" w:rsidR="00261D9D" w:rsidRDefault="00261D9D">
            <w:pPr>
              <w:spacing w:line="260" w:lineRule="auto"/>
            </w:pPr>
            <w:r>
              <w:rPr>
                <w:sz w:val="18"/>
                <w:szCs w:val="18"/>
              </w:rPr>
              <w:t xml:space="preserve">SHAP-based feature attribution confirmed as the explainability method in use, generating a plain-language rationale for every flagged batch. </w:t>
            </w:r>
          </w:p>
        </w:tc>
        <w:tc>
          <w:tcPr>
            <w:tcW w:w="1434" w:type="dxa"/>
            <w:tcBorders>
              <w:top w:val="single" w:sz="4" w:space="0" w:color="D9D9D9"/>
              <w:left w:val="single" w:sz="4" w:space="0" w:color="D9D9D9"/>
              <w:bottom w:val="single" w:sz="4" w:space="0" w:color="D9D9D9"/>
              <w:right w:val="single" w:sz="4" w:space="0" w:color="D9D9D9"/>
            </w:tcBorders>
            <w:shd w:val="clear" w:color="auto" w:fill="FBF3F3"/>
          </w:tcPr>
          <w:p w14:paraId="43B4AFF0" w14:textId="4325C87E" w:rsidR="00261D9D" w:rsidRPr="00261D9D" w:rsidRDefault="00261D9D" w:rsidP="00261D9D">
            <w:pPr>
              <w:spacing w:line="260" w:lineRule="auto"/>
              <w:rPr>
                <w:sz w:val="18"/>
                <w:szCs w:val="18"/>
              </w:rPr>
            </w:pPr>
            <w:r>
              <w:rPr>
                <w:sz w:val="18"/>
                <w:szCs w:val="18"/>
              </w:rPr>
              <w:t>Part 1, Section 2; Vector Performance, Transparency row.</w:t>
            </w: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64BFE76A" w14:textId="75AE886D" w:rsidR="00261D9D" w:rsidRDefault="00261D9D">
            <w:pPr>
              <w:shd w:val="clear" w:color="auto" w:fill="1E7B34"/>
              <w:spacing w:before="20" w:after="20"/>
              <w:jc w:val="center"/>
            </w:pPr>
            <w:r>
              <w:rPr>
                <w:b/>
                <w:bCs/>
                <w:color w:val="FFFFFF"/>
                <w:sz w:val="15"/>
                <w:szCs w:val="15"/>
              </w:rPr>
              <w:t>PASS</w:t>
            </w:r>
          </w:p>
        </w:tc>
      </w:tr>
      <w:tr w:rsidR="00261D9D" w14:paraId="3C6D235E"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D44897D" w14:textId="77777777" w:rsidR="00261D9D" w:rsidRDefault="00261D9D">
            <w:pPr>
              <w:spacing w:line="260" w:lineRule="auto"/>
            </w:pPr>
            <w:r>
              <w:rPr>
                <w:sz w:val="18"/>
                <w:szCs w:val="18"/>
              </w:rPr>
              <w:t>5</w:t>
            </w:r>
          </w:p>
        </w:tc>
        <w:tc>
          <w:tcPr>
            <w:tcW w:w="156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295B6DA8" w14:textId="77777777" w:rsidR="00261D9D" w:rsidRDefault="00261D9D">
            <w:pPr>
              <w:spacing w:line="260" w:lineRule="auto"/>
            </w:pPr>
            <w:r>
              <w:rPr>
                <w:b/>
                <w:bCs/>
                <w:sz w:val="18"/>
                <w:szCs w:val="18"/>
              </w:rPr>
              <w:t>Data Quality, Privacy and Security</w:t>
            </w:r>
          </w:p>
        </w:tc>
        <w:tc>
          <w:tcPr>
            <w:tcW w:w="6095"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38A996D" w14:textId="3490B415" w:rsidR="00261D9D" w:rsidRDefault="00261D9D">
            <w:pPr>
              <w:spacing w:line="260" w:lineRule="auto"/>
            </w:pPr>
            <w:r>
              <w:rPr>
                <w:sz w:val="18"/>
                <w:szCs w:val="18"/>
              </w:rPr>
              <w:t xml:space="preserve">Training and inference data confirmed drawn solely from the bank's own WPS batch history and the labour-authority registry feed. UAE PDPL compliance, encryption in transit and at rest, and role-restricted access each independently verified. </w:t>
            </w:r>
          </w:p>
        </w:tc>
        <w:tc>
          <w:tcPr>
            <w:tcW w:w="1434" w:type="dxa"/>
            <w:tcBorders>
              <w:top w:val="single" w:sz="4" w:space="0" w:color="D9D9D9"/>
              <w:left w:val="single" w:sz="4" w:space="0" w:color="D9D9D9"/>
              <w:bottom w:val="single" w:sz="4" w:space="0" w:color="D9D9D9"/>
              <w:right w:val="single" w:sz="4" w:space="0" w:color="D9D9D9"/>
            </w:tcBorders>
            <w:shd w:val="clear" w:color="auto" w:fill="FFFFFF"/>
          </w:tcPr>
          <w:p w14:paraId="5AEE660F" w14:textId="427C45DB" w:rsidR="00261D9D" w:rsidRPr="00261D9D" w:rsidRDefault="00261D9D" w:rsidP="00261D9D">
            <w:pPr>
              <w:spacing w:line="260" w:lineRule="auto"/>
              <w:rPr>
                <w:sz w:val="18"/>
                <w:szCs w:val="18"/>
              </w:rPr>
            </w:pPr>
            <w:r>
              <w:rPr>
                <w:sz w:val="18"/>
                <w:szCs w:val="18"/>
              </w:rPr>
              <w:t>Vector Performance, Data Security row.</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72CCACE" w14:textId="05CE6B13" w:rsidR="00261D9D" w:rsidRDefault="00261D9D">
            <w:pPr>
              <w:shd w:val="clear" w:color="auto" w:fill="1E7B34"/>
              <w:spacing w:before="20" w:after="20"/>
              <w:jc w:val="center"/>
            </w:pPr>
            <w:r>
              <w:rPr>
                <w:b/>
                <w:bCs/>
                <w:color w:val="FFFFFF"/>
                <w:sz w:val="15"/>
                <w:szCs w:val="15"/>
              </w:rPr>
              <w:t>PASS</w:t>
            </w:r>
          </w:p>
        </w:tc>
      </w:tr>
      <w:tr w:rsidR="00261D9D" w14:paraId="4AE10450"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1F2A185" w14:textId="77777777" w:rsidR="00261D9D" w:rsidRDefault="00261D9D">
            <w:pPr>
              <w:spacing w:line="260" w:lineRule="auto"/>
            </w:pPr>
            <w:r>
              <w:rPr>
                <w:sz w:val="18"/>
                <w:szCs w:val="18"/>
              </w:rPr>
              <w:t>6</w:t>
            </w:r>
          </w:p>
        </w:tc>
        <w:tc>
          <w:tcPr>
            <w:tcW w:w="156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42B3307" w14:textId="77777777" w:rsidR="00261D9D" w:rsidRDefault="00261D9D">
            <w:pPr>
              <w:spacing w:line="260" w:lineRule="auto"/>
            </w:pPr>
            <w:r>
              <w:rPr>
                <w:b/>
                <w:bCs/>
                <w:sz w:val="18"/>
                <w:szCs w:val="18"/>
              </w:rPr>
              <w:t>Continuous Monitoring and Review</w:t>
            </w:r>
          </w:p>
        </w:tc>
        <w:tc>
          <w:tcPr>
            <w:tcW w:w="6095"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58514080" w14:textId="60B244D1" w:rsidR="00261D9D" w:rsidRDefault="00261D9D">
            <w:pPr>
              <w:spacing w:line="260" w:lineRule="auto"/>
            </w:pPr>
            <w:r>
              <w:rPr>
                <w:sz w:val="18"/>
                <w:szCs w:val="18"/>
              </w:rPr>
              <w:t xml:space="preserve">Live monitoring dashboard reviewed and confirmed active. A dated cessation-capability test confirms the agent can be removed from the release path within 6 minutes, with human intervention, without disrupting the underlying WPS batch process — directly evidencing Section 6(f). </w:t>
            </w:r>
          </w:p>
        </w:tc>
        <w:tc>
          <w:tcPr>
            <w:tcW w:w="1434" w:type="dxa"/>
            <w:tcBorders>
              <w:top w:val="single" w:sz="4" w:space="0" w:color="D9D9D9"/>
              <w:left w:val="single" w:sz="4" w:space="0" w:color="D9D9D9"/>
              <w:bottom w:val="single" w:sz="4" w:space="0" w:color="D9D9D9"/>
              <w:right w:val="single" w:sz="4" w:space="0" w:color="D9D9D9"/>
            </w:tcBorders>
            <w:shd w:val="clear" w:color="auto" w:fill="FBF3F3"/>
          </w:tcPr>
          <w:p w14:paraId="2D251ACC" w14:textId="364DC603" w:rsidR="00261D9D" w:rsidRPr="00261D9D" w:rsidRDefault="00261D9D" w:rsidP="00261D9D">
            <w:pPr>
              <w:spacing w:line="260" w:lineRule="auto"/>
              <w:rPr>
                <w:sz w:val="18"/>
                <w:szCs w:val="18"/>
              </w:rPr>
            </w:pPr>
            <w:r>
              <w:rPr>
                <w:sz w:val="18"/>
                <w:szCs w:val="18"/>
              </w:rPr>
              <w:t>Extract D; Vector Performance, Continuous Monitoring rows.</w:t>
            </w: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02447BD" w14:textId="06CE2319" w:rsidR="00261D9D" w:rsidRDefault="00261D9D">
            <w:pPr>
              <w:shd w:val="clear" w:color="auto" w:fill="1E7B34"/>
              <w:spacing w:before="20" w:after="20"/>
              <w:jc w:val="center"/>
            </w:pPr>
            <w:r>
              <w:rPr>
                <w:b/>
                <w:bCs/>
                <w:color w:val="FFFFFF"/>
                <w:sz w:val="15"/>
                <w:szCs w:val="15"/>
              </w:rPr>
              <w:t>PASS</w:t>
            </w:r>
          </w:p>
        </w:tc>
      </w:tr>
      <w:tr w:rsidR="00261D9D" w14:paraId="7AB1C781"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56F450F" w14:textId="77777777" w:rsidR="00261D9D" w:rsidRDefault="00261D9D">
            <w:pPr>
              <w:spacing w:line="260" w:lineRule="auto"/>
            </w:pPr>
            <w:r>
              <w:rPr>
                <w:sz w:val="18"/>
                <w:szCs w:val="18"/>
              </w:rPr>
              <w:t>7</w:t>
            </w:r>
          </w:p>
        </w:tc>
        <w:tc>
          <w:tcPr>
            <w:tcW w:w="156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08B91BAE" w14:textId="77777777" w:rsidR="00261D9D" w:rsidRDefault="00261D9D">
            <w:pPr>
              <w:spacing w:line="260" w:lineRule="auto"/>
            </w:pPr>
            <w:r>
              <w:rPr>
                <w:b/>
                <w:bCs/>
                <w:sz w:val="18"/>
                <w:szCs w:val="18"/>
              </w:rPr>
              <w:t>Human Oversight and Consumer Protection</w:t>
            </w:r>
          </w:p>
        </w:tc>
        <w:tc>
          <w:tcPr>
            <w:tcW w:w="6095"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067A3C6" w14:textId="1621CAFE" w:rsidR="00261D9D" w:rsidRDefault="00261D9D">
            <w:pPr>
              <w:spacing w:line="260" w:lineRule="auto"/>
            </w:pPr>
            <w:r>
              <w:rPr>
                <w:sz w:val="18"/>
                <w:szCs w:val="18"/>
              </w:rPr>
              <w:t xml:space="preserve">Every batch flagged above threshold confirmed to require human sign-off before release. The channel for an employee or employer to request human review of a delayed payment tested and confirmed functional. </w:t>
            </w:r>
          </w:p>
        </w:tc>
        <w:tc>
          <w:tcPr>
            <w:tcW w:w="1434" w:type="dxa"/>
            <w:tcBorders>
              <w:top w:val="single" w:sz="4" w:space="0" w:color="D9D9D9"/>
              <w:left w:val="single" w:sz="4" w:space="0" w:color="D9D9D9"/>
              <w:bottom w:val="single" w:sz="4" w:space="0" w:color="D9D9D9"/>
              <w:right w:val="single" w:sz="4" w:space="0" w:color="D9D9D9"/>
            </w:tcBorders>
            <w:shd w:val="clear" w:color="auto" w:fill="FFFFFF"/>
          </w:tcPr>
          <w:p w14:paraId="283244B1" w14:textId="573B39B5" w:rsidR="00261D9D" w:rsidRPr="00261D9D" w:rsidRDefault="00261D9D" w:rsidP="00261D9D">
            <w:pPr>
              <w:spacing w:line="260" w:lineRule="auto"/>
              <w:rPr>
                <w:sz w:val="18"/>
                <w:szCs w:val="18"/>
              </w:rPr>
            </w:pPr>
            <w:r>
              <w:rPr>
                <w:sz w:val="18"/>
                <w:szCs w:val="18"/>
              </w:rPr>
              <w:t>Extract C.</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302BA4B" w14:textId="0381DE1A" w:rsidR="00261D9D" w:rsidRDefault="00261D9D">
            <w:pPr>
              <w:shd w:val="clear" w:color="auto" w:fill="1E7B34"/>
              <w:spacing w:before="20" w:after="20"/>
              <w:jc w:val="center"/>
            </w:pPr>
            <w:r>
              <w:rPr>
                <w:b/>
                <w:bCs/>
                <w:color w:val="FFFFFF"/>
                <w:sz w:val="15"/>
                <w:szCs w:val="15"/>
              </w:rPr>
              <w:t>PASS</w:t>
            </w:r>
          </w:p>
        </w:tc>
      </w:tr>
      <w:tr w:rsidR="00261D9D" w14:paraId="4123C263"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13F8E29" w14:textId="77777777" w:rsidR="00261D9D" w:rsidRDefault="00261D9D">
            <w:pPr>
              <w:spacing w:line="260" w:lineRule="auto"/>
            </w:pPr>
            <w:r>
              <w:rPr>
                <w:sz w:val="18"/>
                <w:szCs w:val="18"/>
              </w:rPr>
              <w:t>8</w:t>
            </w:r>
          </w:p>
        </w:tc>
        <w:tc>
          <w:tcPr>
            <w:tcW w:w="156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E3D7CC2" w14:textId="77777777" w:rsidR="00261D9D" w:rsidRDefault="00261D9D">
            <w:pPr>
              <w:spacing w:line="260" w:lineRule="auto"/>
            </w:pPr>
            <w:r>
              <w:rPr>
                <w:b/>
                <w:bCs/>
                <w:sz w:val="18"/>
                <w:szCs w:val="18"/>
              </w:rPr>
              <w:t>Integration with Existing Frameworks</w:t>
            </w:r>
          </w:p>
        </w:tc>
        <w:tc>
          <w:tcPr>
            <w:tcW w:w="6095"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27E7EB5B" w14:textId="09774545" w:rsidR="00261D9D" w:rsidRDefault="00261D9D">
            <w:pPr>
              <w:spacing w:line="260" w:lineRule="auto"/>
            </w:pPr>
            <w:r>
              <w:rPr>
                <w:sz w:val="18"/>
                <w:szCs w:val="18"/>
              </w:rPr>
              <w:t xml:space="preserve">This system's governance confirmed to sit inside the bank's existing Model Management Standards (2022) framework and Consumer Protection Regulation obligations. </w:t>
            </w:r>
          </w:p>
        </w:tc>
        <w:tc>
          <w:tcPr>
            <w:tcW w:w="1434" w:type="dxa"/>
            <w:tcBorders>
              <w:top w:val="single" w:sz="4" w:space="0" w:color="D9D9D9"/>
              <w:left w:val="single" w:sz="4" w:space="0" w:color="D9D9D9"/>
              <w:bottom w:val="single" w:sz="4" w:space="0" w:color="D9D9D9"/>
              <w:right w:val="single" w:sz="4" w:space="0" w:color="D9D9D9"/>
            </w:tcBorders>
            <w:shd w:val="clear" w:color="auto" w:fill="FBF3F3"/>
          </w:tcPr>
          <w:p w14:paraId="36FE09C1" w14:textId="6E31D9A3" w:rsidR="00261D9D" w:rsidRPr="00261D9D" w:rsidRDefault="00261D9D" w:rsidP="00261D9D">
            <w:pPr>
              <w:spacing w:line="260" w:lineRule="auto"/>
              <w:rPr>
                <w:sz w:val="18"/>
                <w:szCs w:val="18"/>
              </w:rPr>
            </w:pPr>
            <w:r>
              <w:rPr>
                <w:sz w:val="18"/>
                <w:szCs w:val="18"/>
              </w:rPr>
              <w:t>Part 1, Section 7 (Standards applied).</w:t>
            </w: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73CC37A" w14:textId="2B820B73" w:rsidR="00261D9D" w:rsidRDefault="00261D9D">
            <w:pPr>
              <w:shd w:val="clear" w:color="auto" w:fill="1E7B34"/>
              <w:spacing w:before="20" w:after="20"/>
              <w:jc w:val="center"/>
            </w:pPr>
            <w:r>
              <w:rPr>
                <w:b/>
                <w:bCs/>
                <w:color w:val="FFFFFF"/>
                <w:sz w:val="15"/>
                <w:szCs w:val="15"/>
              </w:rPr>
              <w:t>PASS</w:t>
            </w:r>
          </w:p>
        </w:tc>
      </w:tr>
      <w:tr w:rsidR="00261D9D" w14:paraId="1D80AF5B"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3E52A1B" w14:textId="77777777" w:rsidR="00261D9D" w:rsidRDefault="00261D9D">
            <w:pPr>
              <w:spacing w:line="260" w:lineRule="auto"/>
            </w:pPr>
            <w:r>
              <w:rPr>
                <w:sz w:val="18"/>
                <w:szCs w:val="18"/>
              </w:rPr>
              <w:t>9</w:t>
            </w:r>
          </w:p>
        </w:tc>
        <w:tc>
          <w:tcPr>
            <w:tcW w:w="156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98D14FD" w14:textId="77777777" w:rsidR="00261D9D" w:rsidRDefault="00261D9D">
            <w:pPr>
              <w:spacing w:line="260" w:lineRule="auto"/>
            </w:pPr>
            <w:r>
              <w:rPr>
                <w:b/>
                <w:bCs/>
                <w:sz w:val="18"/>
                <w:szCs w:val="18"/>
              </w:rPr>
              <w:t>Outsourcing and Third-Party Risk</w:t>
            </w:r>
          </w:p>
        </w:tc>
        <w:tc>
          <w:tcPr>
            <w:tcW w:w="6095"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46B1D2F" w14:textId="4B13CBE0" w:rsidR="00261D9D" w:rsidRDefault="00261D9D">
            <w:pPr>
              <w:spacing w:line="260" w:lineRule="auto"/>
            </w:pPr>
            <w:r>
              <w:rPr>
                <w:sz w:val="18"/>
                <w:szCs w:val="18"/>
              </w:rPr>
              <w:t xml:space="preserve">GAP IDENTIFIED. The base model is licensed from a third-party provider under a contract that includes audit rights and an immediate-cessation clause, both </w:t>
            </w:r>
            <w:proofErr w:type="gramStart"/>
            <w:r>
              <w:rPr>
                <w:sz w:val="18"/>
                <w:szCs w:val="18"/>
              </w:rPr>
              <w:t>confirmed on</w:t>
            </w:r>
            <w:proofErr w:type="gramEnd"/>
            <w:r>
              <w:rPr>
                <w:sz w:val="18"/>
                <w:szCs w:val="18"/>
              </w:rPr>
              <w:t xml:space="preserve"> file. However, the most recent independent cybersecurity review of that provider is dated 11 June 2025 — 13 months before this assessment, exceeding the Guidance Note's annual review expectation. No evidence of a scheduled or in-progress refresh found at time of testing. </w:t>
            </w:r>
          </w:p>
        </w:tc>
        <w:tc>
          <w:tcPr>
            <w:tcW w:w="1434" w:type="dxa"/>
            <w:tcBorders>
              <w:top w:val="single" w:sz="4" w:space="0" w:color="D9D9D9"/>
              <w:left w:val="single" w:sz="4" w:space="0" w:color="D9D9D9"/>
              <w:bottom w:val="single" w:sz="4" w:space="0" w:color="D9D9D9"/>
              <w:right w:val="single" w:sz="4" w:space="0" w:color="D9D9D9"/>
            </w:tcBorders>
            <w:shd w:val="clear" w:color="auto" w:fill="FFFFFF"/>
          </w:tcPr>
          <w:p w14:paraId="1A8B68C9" w14:textId="6076DD47" w:rsidR="00261D9D" w:rsidRPr="00261D9D" w:rsidRDefault="00261D9D" w:rsidP="00261D9D">
            <w:pPr>
              <w:spacing w:line="260" w:lineRule="auto"/>
              <w:rPr>
                <w:sz w:val="18"/>
                <w:szCs w:val="18"/>
              </w:rPr>
            </w:pPr>
            <w:r>
              <w:rPr>
                <w:sz w:val="18"/>
                <w:szCs w:val="18"/>
              </w:rPr>
              <w:t>Vector Performance, Outsourcing &amp; Third-Party row (HIGH, Blocking); see Remediation Roadmap.</w:t>
            </w:r>
          </w:p>
        </w:tc>
        <w:tc>
          <w:tcPr>
            <w:tcW w:w="73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C4B3D6F" w14:textId="4AC8F5D2" w:rsidR="00261D9D" w:rsidRDefault="00261D9D">
            <w:pPr>
              <w:shd w:val="clear" w:color="auto" w:fill="AA0605"/>
              <w:spacing w:before="20" w:after="20"/>
              <w:jc w:val="center"/>
            </w:pPr>
            <w:r>
              <w:rPr>
                <w:b/>
                <w:bCs/>
                <w:color w:val="FFFFFF"/>
                <w:sz w:val="15"/>
                <w:szCs w:val="15"/>
              </w:rPr>
              <w:t>FAIL</w:t>
            </w:r>
          </w:p>
        </w:tc>
      </w:tr>
      <w:tr w:rsidR="00261D9D" w14:paraId="10401789" w14:textId="77777777" w:rsidTr="00261D9D">
        <w:tc>
          <w:tcPr>
            <w:tcW w:w="42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6CD3FC6A" w14:textId="77777777" w:rsidR="00261D9D" w:rsidRDefault="00261D9D">
            <w:pPr>
              <w:spacing w:line="260" w:lineRule="auto"/>
            </w:pPr>
            <w:r>
              <w:rPr>
                <w:sz w:val="18"/>
                <w:szCs w:val="18"/>
              </w:rPr>
              <w:t>10</w:t>
            </w:r>
          </w:p>
        </w:tc>
        <w:tc>
          <w:tcPr>
            <w:tcW w:w="156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B875DDB" w14:textId="77777777" w:rsidR="00261D9D" w:rsidRDefault="00261D9D">
            <w:pPr>
              <w:spacing w:line="260" w:lineRule="auto"/>
            </w:pPr>
            <w:r>
              <w:rPr>
                <w:b/>
                <w:bCs/>
                <w:sz w:val="18"/>
                <w:szCs w:val="18"/>
              </w:rPr>
              <w:t>Ethical Collaboration and Innovation</w:t>
            </w:r>
          </w:p>
        </w:tc>
        <w:tc>
          <w:tcPr>
            <w:tcW w:w="6095"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33284AE3" w14:textId="77777777" w:rsidR="00261D9D" w:rsidRDefault="00261D9D">
            <w:pPr>
              <w:spacing w:line="260" w:lineRule="auto"/>
            </w:pPr>
            <w:r>
              <w:rPr>
                <w:sz w:val="18"/>
                <w:szCs w:val="18"/>
              </w:rPr>
              <w:t>Participation in an industry working group on responsible AI use in UAE payments confirmed on file for the current cycle.</w:t>
            </w:r>
          </w:p>
        </w:tc>
        <w:tc>
          <w:tcPr>
            <w:tcW w:w="1434" w:type="dxa"/>
            <w:tcBorders>
              <w:top w:val="single" w:sz="4" w:space="0" w:color="D9D9D9"/>
              <w:left w:val="single" w:sz="4" w:space="0" w:color="D9D9D9"/>
              <w:bottom w:val="single" w:sz="4" w:space="0" w:color="D9D9D9"/>
              <w:right w:val="single" w:sz="4" w:space="0" w:color="D9D9D9"/>
            </w:tcBorders>
            <w:shd w:val="clear" w:color="auto" w:fill="FBF3F3"/>
          </w:tcPr>
          <w:p w14:paraId="31B4B930" w14:textId="77777777" w:rsidR="00261D9D" w:rsidRPr="00261D9D" w:rsidRDefault="00261D9D" w:rsidP="00261D9D">
            <w:pPr>
              <w:spacing w:line="260" w:lineRule="auto"/>
              <w:rPr>
                <w:sz w:val="18"/>
                <w:szCs w:val="18"/>
              </w:rPr>
            </w:pPr>
          </w:p>
        </w:tc>
        <w:tc>
          <w:tcPr>
            <w:tcW w:w="731"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2BCDC660" w14:textId="713FA548" w:rsidR="00261D9D" w:rsidRDefault="00261D9D">
            <w:pPr>
              <w:shd w:val="clear" w:color="auto" w:fill="1E7B34"/>
              <w:spacing w:before="20" w:after="20"/>
              <w:jc w:val="center"/>
            </w:pPr>
            <w:r>
              <w:rPr>
                <w:b/>
                <w:bCs/>
                <w:color w:val="FFFFFF"/>
                <w:sz w:val="15"/>
                <w:szCs w:val="15"/>
              </w:rPr>
              <w:t>PASS</w:t>
            </w:r>
          </w:p>
        </w:tc>
      </w:tr>
    </w:tbl>
    <w:p w14:paraId="05D3A143" w14:textId="77777777" w:rsidR="0089136F" w:rsidRDefault="00000000">
      <w:r>
        <w:br w:type="page"/>
      </w:r>
    </w:p>
    <w:p w14:paraId="22DE4D8D" w14:textId="77777777" w:rsidR="0089136F" w:rsidRDefault="00000000">
      <w:pPr>
        <w:spacing w:after="60"/>
      </w:pPr>
      <w:r>
        <w:rPr>
          <w:b/>
          <w:bCs/>
          <w:color w:val="AA0605"/>
          <w:spacing w:val="20"/>
          <w:sz w:val="16"/>
          <w:szCs w:val="16"/>
        </w:rPr>
        <w:lastRenderedPageBreak/>
        <w:t>CONCLUSION</w:t>
      </w:r>
    </w:p>
    <w:p w14:paraId="4551D544" w14:textId="77777777" w:rsidR="0089136F" w:rsidRDefault="00000000">
      <w:pPr>
        <w:pStyle w:val="Heading1"/>
        <w:pBdr>
          <w:bottom w:val="single" w:sz="6" w:space="6" w:color="AA0605"/>
        </w:pBdr>
        <w:spacing w:before="240" w:after="160"/>
      </w:pPr>
      <w:r>
        <w:rPr>
          <w:b/>
          <w:bCs/>
          <w:color w:val="1F1F1F"/>
          <w:sz w:val="30"/>
          <w:szCs w:val="30"/>
        </w:rPr>
        <w:t>Overall outcome &amp; remediation roadmap</w:t>
      </w:r>
    </w:p>
    <w:p w14:paraId="6F6F70A2" w14:textId="51813D78" w:rsidR="0089136F" w:rsidRDefault="00000000">
      <w:pPr>
        <w:spacing w:after="120" w:line="300" w:lineRule="auto"/>
      </w:pPr>
      <w:r>
        <w:t>One evidence base, three readings: 9/9 universal backbone sections complete; 18/19 regulatory sections pass across DIFC Regulation 10 and the CBUAE AI/ML Guidance Note. Overall attestation: SILVER  ATTESTED, trust score 94.6/100, valid 28 July 2026 to 24 January 2027, subject to continuous monitoring.</w:t>
      </w:r>
    </w:p>
    <w:p w14:paraId="2140FC60" w14:textId="77777777" w:rsidR="0089136F" w:rsidRDefault="00000000">
      <w:pPr>
        <w:pStyle w:val="Heading3"/>
        <w:spacing w:before="160" w:after="80"/>
      </w:pPr>
      <w:r>
        <w:rPr>
          <w:b/>
          <w:bCs/>
          <w:color w:val="1F1F1F"/>
          <w:sz w:val="21"/>
          <w:szCs w:val="21"/>
        </w:rPr>
        <w:t>Remediation item</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1200"/>
        <w:gridCol w:w="5566"/>
        <w:gridCol w:w="1400"/>
      </w:tblGrid>
      <w:tr w:rsidR="0089136F" w14:paraId="69CF8352" w14:textId="77777777">
        <w:trPr>
          <w:tblHeader/>
        </w:trPr>
        <w:tc>
          <w:tcPr>
            <w:tcW w:w="23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551EBC93" w14:textId="77777777" w:rsidR="0089136F" w:rsidRDefault="00000000">
            <w:r>
              <w:rPr>
                <w:b/>
                <w:bCs/>
                <w:color w:val="FFFFFF"/>
                <w:sz w:val="18"/>
                <w:szCs w:val="18"/>
              </w:rPr>
              <w:t>Finding</w:t>
            </w:r>
          </w:p>
        </w:tc>
        <w:tc>
          <w:tcPr>
            <w:tcW w:w="12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17353B1B" w14:textId="77777777" w:rsidR="0089136F" w:rsidRDefault="00000000">
            <w:r>
              <w:rPr>
                <w:b/>
                <w:bCs/>
                <w:color w:val="FFFFFF"/>
                <w:sz w:val="18"/>
                <w:szCs w:val="18"/>
              </w:rPr>
              <w:t>Severity</w:t>
            </w:r>
          </w:p>
        </w:tc>
        <w:tc>
          <w:tcPr>
            <w:tcW w:w="5566"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70293D44" w14:textId="77777777" w:rsidR="0089136F" w:rsidRDefault="00000000">
            <w:r>
              <w:rPr>
                <w:b/>
                <w:bCs/>
                <w:color w:val="FFFFFF"/>
                <w:sz w:val="18"/>
                <w:szCs w:val="18"/>
              </w:rPr>
              <w:t>Action required</w:t>
            </w:r>
          </w:p>
        </w:tc>
        <w:tc>
          <w:tcPr>
            <w:tcW w:w="14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79205E53" w14:textId="77777777" w:rsidR="0089136F" w:rsidRDefault="00000000">
            <w:r>
              <w:rPr>
                <w:b/>
                <w:bCs/>
                <w:color w:val="FFFFFF"/>
                <w:sz w:val="18"/>
                <w:szCs w:val="18"/>
              </w:rPr>
              <w:t>Deadline</w:t>
            </w:r>
          </w:p>
        </w:tc>
      </w:tr>
      <w:tr w:rsidR="0089136F" w14:paraId="42F97062" w14:textId="77777777">
        <w:tc>
          <w:tcPr>
            <w:tcW w:w="23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8EDD3A7" w14:textId="77777777" w:rsidR="0089136F" w:rsidRDefault="00000000">
            <w:pPr>
              <w:spacing w:line="260" w:lineRule="auto"/>
            </w:pPr>
            <w:r>
              <w:rPr>
                <w:b/>
                <w:bCs/>
                <w:sz w:val="18"/>
                <w:szCs w:val="18"/>
              </w:rPr>
              <w:t>CBUAE Section 9 — Outsourcing &amp; Third-Party Risk</w:t>
            </w:r>
          </w:p>
        </w:tc>
        <w:tc>
          <w:tcPr>
            <w:tcW w:w="12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6DD98F7" w14:textId="77777777" w:rsidR="0089136F" w:rsidRDefault="00000000">
            <w:pPr>
              <w:shd w:val="clear" w:color="auto" w:fill="AA0605"/>
              <w:spacing w:before="20" w:after="20"/>
              <w:jc w:val="center"/>
            </w:pPr>
            <w:r>
              <w:rPr>
                <w:b/>
                <w:bCs/>
                <w:color w:val="FFFFFF"/>
                <w:sz w:val="15"/>
                <w:szCs w:val="15"/>
              </w:rPr>
              <w:t>HIGH</w:t>
            </w:r>
          </w:p>
        </w:tc>
        <w:tc>
          <w:tcPr>
            <w:tcW w:w="5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E4219C3" w14:textId="77777777" w:rsidR="0089136F" w:rsidRDefault="00000000">
            <w:pPr>
              <w:spacing w:line="260" w:lineRule="auto"/>
            </w:pPr>
            <w:r>
              <w:rPr>
                <w:sz w:val="18"/>
                <w:szCs w:val="18"/>
              </w:rPr>
              <w:t>Commission a refreshed independent cybersecurity review of the third-party base-model provider; file the updated review and provider remediation confirmation; re-run the Outsourcing &amp; Third-Party Risk vector to close the finding.</w:t>
            </w:r>
          </w:p>
        </w:tc>
        <w:tc>
          <w:tcPr>
            <w:tcW w:w="14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8E34C77" w14:textId="77777777" w:rsidR="0089136F" w:rsidRDefault="00000000">
            <w:pPr>
              <w:spacing w:line="260" w:lineRule="auto"/>
            </w:pPr>
            <w:r>
              <w:rPr>
                <w:sz w:val="18"/>
                <w:szCs w:val="18"/>
              </w:rPr>
              <w:t>30 days from assessment date</w:t>
            </w:r>
          </w:p>
        </w:tc>
      </w:tr>
    </w:tbl>
    <w:p w14:paraId="765942E1" w14:textId="77777777" w:rsidR="0089136F" w:rsidRDefault="0089136F">
      <w:pPr>
        <w:spacing w:after="200"/>
      </w:pPr>
    </w:p>
    <w:p w14:paraId="5967A56D" w14:textId="77777777" w:rsidR="0089136F" w:rsidRDefault="00000000">
      <w:pPr>
        <w:spacing w:after="120" w:line="300" w:lineRule="auto"/>
      </w:pPr>
      <w:r>
        <w:rPr>
          <w:i/>
          <w:iCs/>
          <w:color w:val="4A4A4A"/>
        </w:rPr>
        <w:t>Continued in: BASTYN Evidence Pack, which sets out the underlying test results and dashboard view behind every finding above; and BASTYN Trust Attestation, the certificate this assessment produced.</w:t>
      </w:r>
    </w:p>
    <w:sectPr w:rsidR="0089136F">
      <w:headerReference w:type="default" r:id="rId8"/>
      <w:footerReference w:type="default" r:id="rId9"/>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71A443" w14:textId="77777777" w:rsidR="00606D58" w:rsidRDefault="00606D58">
      <w:r>
        <w:separator/>
      </w:r>
    </w:p>
  </w:endnote>
  <w:endnote w:type="continuationSeparator" w:id="0">
    <w:p w14:paraId="4714F637" w14:textId="77777777" w:rsidR="00606D58" w:rsidRDefault="0060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813B75" w14:textId="77777777" w:rsidR="0089136F" w:rsidRDefault="00000000">
    <w:pPr>
      <w:pBdr>
        <w:top w:val="single" w:sz="4" w:space="4" w:color="D9D9D9"/>
      </w:pBdr>
      <w:tabs>
        <w:tab w:val="right" w:pos="10466"/>
      </w:tabs>
    </w:pPr>
    <w:r>
      <w:rPr>
        <w:color w:val="4A4A4A"/>
        <w:sz w:val="14"/>
        <w:szCs w:val="14"/>
      </w:rPr>
      <w:t xml:space="preserve">Conformity Assessment Pack — </w:t>
    </w:r>
    <w:proofErr w:type="spellStart"/>
    <w:r>
      <w:rPr>
        <w:color w:val="4A4A4A"/>
        <w:sz w:val="14"/>
        <w:szCs w:val="14"/>
      </w:rPr>
      <w:t>wps</w:t>
    </w:r>
    <w:proofErr w:type="spellEnd"/>
    <w:r>
      <w:rPr>
        <w:color w:val="4A4A4A"/>
        <w:sz w:val="14"/>
        <w:szCs w:val="14"/>
      </w:rPr>
      <w:t>-salary-anomaly-agent (illustrative sample)</w:t>
    </w:r>
    <w:r>
      <w:rPr>
        <w:sz w:val="14"/>
        <w:szCs w:val="14"/>
      </w:rPr>
      <w:tab/>
    </w:r>
    <w:r>
      <w:rPr>
        <w:color w:val="4A4A4A"/>
        <w:sz w:val="14"/>
        <w:szCs w:val="14"/>
      </w:rPr>
      <w:t xml:space="preserve">BASTYN — Page </w:t>
    </w:r>
    <w:r>
      <w:rPr>
        <w:color w:val="4A4A4A"/>
        <w:sz w:val="14"/>
        <w:szCs w:val="14"/>
      </w:rPr>
      <w:fldChar w:fldCharType="begin"/>
    </w:r>
    <w:r>
      <w:rPr>
        <w:color w:val="4A4A4A"/>
        <w:sz w:val="14"/>
        <w:szCs w:val="14"/>
      </w:rPr>
      <w:instrText>PAGE</w:instrText>
    </w:r>
    <w:r>
      <w:rPr>
        <w:color w:val="4A4A4A"/>
        <w:sz w:val="14"/>
        <w:szCs w:val="14"/>
      </w:rPr>
      <w:fldChar w:fldCharType="separate"/>
    </w:r>
    <w:r w:rsidR="00152483">
      <w:rPr>
        <w:noProof/>
        <w:color w:val="4A4A4A"/>
        <w:sz w:val="14"/>
        <w:szCs w:val="14"/>
      </w:rPr>
      <w:t>1</w:t>
    </w:r>
    <w:r>
      <w:rPr>
        <w:color w:val="4A4A4A"/>
        <w:sz w:val="14"/>
        <w:szCs w:val="14"/>
      </w:rPr>
      <w:fldChar w:fldCharType="end"/>
    </w:r>
    <w:r>
      <w:rPr>
        <w:color w:val="4A4A4A"/>
        <w:sz w:val="14"/>
        <w:szCs w:val="14"/>
      </w:rPr>
      <w:t xml:space="preserve"> of </w:t>
    </w:r>
    <w:r>
      <w:rPr>
        <w:color w:val="4A4A4A"/>
        <w:sz w:val="14"/>
        <w:szCs w:val="14"/>
      </w:rPr>
      <w:fldChar w:fldCharType="begin"/>
    </w:r>
    <w:r>
      <w:rPr>
        <w:color w:val="4A4A4A"/>
        <w:sz w:val="14"/>
        <w:szCs w:val="14"/>
      </w:rPr>
      <w:instrText>NUMPAGES</w:instrText>
    </w:r>
    <w:r>
      <w:rPr>
        <w:color w:val="4A4A4A"/>
        <w:sz w:val="14"/>
        <w:szCs w:val="14"/>
      </w:rPr>
      <w:fldChar w:fldCharType="separate"/>
    </w:r>
    <w:r w:rsidR="00152483">
      <w:rPr>
        <w:noProof/>
        <w:color w:val="4A4A4A"/>
        <w:sz w:val="14"/>
        <w:szCs w:val="14"/>
      </w:rPr>
      <w:t>2</w:t>
    </w:r>
    <w:r>
      <w:rPr>
        <w:color w:val="4A4A4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A1A48F" w14:textId="77777777" w:rsidR="00606D58" w:rsidRDefault="00606D58">
      <w:r>
        <w:separator/>
      </w:r>
    </w:p>
  </w:footnote>
  <w:footnote w:type="continuationSeparator" w:id="0">
    <w:p w14:paraId="5E5DC620" w14:textId="77777777" w:rsidR="00606D58" w:rsidRDefault="00606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168524" w14:textId="77777777" w:rsidR="0089136F" w:rsidRDefault="00000000">
    <w:pPr>
      <w:pBdr>
        <w:bottom w:val="single" w:sz="4" w:space="6" w:color="D9D9D9"/>
      </w:pBdr>
    </w:pPr>
    <w:r>
      <w:rPr>
        <w:noProof/>
      </w:rPr>
      <w:drawing>
        <wp:inline distT="0" distB="0" distL="0" distR="0" wp14:anchorId="0C604F42" wp14:editId="65CD4A27">
          <wp:extent cx="857250" cy="257175"/>
          <wp:effectExtent l="0" t="0" r="0" b="0"/>
          <wp:docPr id="605125323" name="Picture 60512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257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D4704E"/>
    <w:multiLevelType w:val="hybridMultilevel"/>
    <w:tmpl w:val="85CC45A6"/>
    <w:lvl w:ilvl="0" w:tplc="6FAA3E64">
      <w:start w:val="1"/>
      <w:numFmt w:val="bullet"/>
      <w:lvlText w:val="●"/>
      <w:lvlJc w:val="left"/>
      <w:pPr>
        <w:ind w:left="720" w:hanging="360"/>
      </w:pPr>
    </w:lvl>
    <w:lvl w:ilvl="1" w:tplc="D87CCDCC">
      <w:start w:val="1"/>
      <w:numFmt w:val="bullet"/>
      <w:lvlText w:val="○"/>
      <w:lvlJc w:val="left"/>
      <w:pPr>
        <w:ind w:left="1440" w:hanging="360"/>
      </w:pPr>
    </w:lvl>
    <w:lvl w:ilvl="2" w:tplc="A98CD194">
      <w:start w:val="1"/>
      <w:numFmt w:val="bullet"/>
      <w:lvlText w:val="■"/>
      <w:lvlJc w:val="left"/>
      <w:pPr>
        <w:ind w:left="2160" w:hanging="360"/>
      </w:pPr>
    </w:lvl>
    <w:lvl w:ilvl="3" w:tplc="9266D186">
      <w:start w:val="1"/>
      <w:numFmt w:val="bullet"/>
      <w:lvlText w:val="●"/>
      <w:lvlJc w:val="left"/>
      <w:pPr>
        <w:ind w:left="2880" w:hanging="360"/>
      </w:pPr>
    </w:lvl>
    <w:lvl w:ilvl="4" w:tplc="9E48B5D6">
      <w:start w:val="1"/>
      <w:numFmt w:val="bullet"/>
      <w:lvlText w:val="○"/>
      <w:lvlJc w:val="left"/>
      <w:pPr>
        <w:ind w:left="3600" w:hanging="360"/>
      </w:pPr>
    </w:lvl>
    <w:lvl w:ilvl="5" w:tplc="7CFEBCC0">
      <w:start w:val="1"/>
      <w:numFmt w:val="bullet"/>
      <w:lvlText w:val="■"/>
      <w:lvlJc w:val="left"/>
      <w:pPr>
        <w:ind w:left="4320" w:hanging="360"/>
      </w:pPr>
    </w:lvl>
    <w:lvl w:ilvl="6" w:tplc="AF388E20">
      <w:start w:val="1"/>
      <w:numFmt w:val="bullet"/>
      <w:lvlText w:val="●"/>
      <w:lvlJc w:val="left"/>
      <w:pPr>
        <w:ind w:left="5040" w:hanging="360"/>
      </w:pPr>
    </w:lvl>
    <w:lvl w:ilvl="7" w:tplc="E7CE7294">
      <w:start w:val="1"/>
      <w:numFmt w:val="bullet"/>
      <w:lvlText w:val="●"/>
      <w:lvlJc w:val="left"/>
      <w:pPr>
        <w:ind w:left="5760" w:hanging="360"/>
      </w:pPr>
    </w:lvl>
    <w:lvl w:ilvl="8" w:tplc="FA80CE60">
      <w:start w:val="1"/>
      <w:numFmt w:val="bullet"/>
      <w:lvlText w:val="●"/>
      <w:lvlJc w:val="left"/>
      <w:pPr>
        <w:ind w:left="6480" w:hanging="360"/>
      </w:pPr>
    </w:lvl>
  </w:abstractNum>
  <w:num w:numId="1" w16cid:durableId="72668435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36F"/>
    <w:rsid w:val="00120CA2"/>
    <w:rsid w:val="00152483"/>
    <w:rsid w:val="00261D9D"/>
    <w:rsid w:val="005F21C8"/>
    <w:rsid w:val="00606D58"/>
    <w:rsid w:val="00891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6DFE63"/>
  <w15:docId w15:val="{E271A2A4-4D35-5540-A875-F035A1BB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2073</Words>
  <Characters>11819</Characters>
  <Application>Microsoft Office Word</Application>
  <DocSecurity>0</DocSecurity>
  <Lines>98</Lines>
  <Paragraphs>27</Paragraphs>
  <ScaleCrop>false</ScaleCrop>
  <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BASTYN</dc:creator>
  <cp:lastModifiedBy>BASTYN</cp:lastModifiedBy>
  <cp:revision>3</cp:revision>
  <dcterms:created xsi:type="dcterms:W3CDTF">2026-08-04T07:11:00Z</dcterms:created>
  <dcterms:modified xsi:type="dcterms:W3CDTF">2026-08-04T07:33:00Z</dcterms:modified>
</cp:coreProperties>
</file>